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8797" w14:textId="77777777" w:rsidR="00494600" w:rsidRPr="00665744" w:rsidRDefault="00494600" w:rsidP="00494600">
      <w:pPr>
        <w:jc w:val="both"/>
        <w:rPr>
          <w:b/>
        </w:rPr>
      </w:pPr>
    </w:p>
    <w:p w14:paraId="59357463" w14:textId="77777777" w:rsidR="00494600" w:rsidRPr="00665744" w:rsidRDefault="00494600" w:rsidP="00494600">
      <w:pPr>
        <w:jc w:val="right"/>
        <w:rPr>
          <w:b/>
        </w:rPr>
      </w:pPr>
      <w:r w:rsidRPr="00665744">
        <w:rPr>
          <w:noProof/>
        </w:rPr>
        <w:drawing>
          <wp:inline distT="0" distB="0" distL="0" distR="0" wp14:anchorId="6A45B509" wp14:editId="59191EAF">
            <wp:extent cx="1791229" cy="708659"/>
            <wp:effectExtent l="0" t="0" r="0" b="0"/>
            <wp:docPr id="2"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72BECD35" w14:textId="77777777" w:rsidR="00494600" w:rsidRPr="00665744" w:rsidRDefault="00494600" w:rsidP="00494600">
      <w:pPr>
        <w:jc w:val="both"/>
        <w:rPr>
          <w:b/>
        </w:rPr>
      </w:pPr>
    </w:p>
    <w:p w14:paraId="1CD362E4" w14:textId="77777777" w:rsidR="00A07FCF" w:rsidRDefault="00A07FCF" w:rsidP="00F17E7E">
      <w:pPr>
        <w:pStyle w:val="Heading1"/>
        <w:spacing w:before="0"/>
        <w:ind w:left="0"/>
        <w:rPr>
          <w:u w:val="single"/>
        </w:rPr>
      </w:pPr>
    </w:p>
    <w:p w14:paraId="74858962" w14:textId="77777777" w:rsidR="008D4602" w:rsidRDefault="008D4602" w:rsidP="00494600">
      <w:pPr>
        <w:pStyle w:val="Heading1"/>
        <w:spacing w:before="0"/>
        <w:rPr>
          <w:u w:val="single"/>
        </w:rPr>
      </w:pPr>
    </w:p>
    <w:p w14:paraId="41F47C86" w14:textId="6F62877F" w:rsidR="008D4602" w:rsidRPr="008D4602" w:rsidRDefault="00522C7C" w:rsidP="008D4602">
      <w:pPr>
        <w:jc w:val="both"/>
        <w:rPr>
          <w:b/>
          <w:sz w:val="40"/>
          <w:szCs w:val="40"/>
        </w:rPr>
      </w:pPr>
      <w:bookmarkStart w:id="0" w:name="_GoBack"/>
      <w:r>
        <w:rPr>
          <w:b/>
          <w:sz w:val="40"/>
          <w:szCs w:val="40"/>
        </w:rPr>
        <w:t xml:space="preserve">Middlesex University </w:t>
      </w:r>
      <w:r w:rsidR="008D4602" w:rsidRPr="00665744">
        <w:rPr>
          <w:b/>
          <w:sz w:val="40"/>
          <w:szCs w:val="40"/>
        </w:rPr>
        <w:t>Data Protection Policy</w:t>
      </w:r>
    </w:p>
    <w:bookmarkEnd w:id="0"/>
    <w:p w14:paraId="5B59E756" w14:textId="77777777" w:rsidR="008D4602" w:rsidRPr="00F7254E" w:rsidRDefault="008D4602" w:rsidP="005C203B">
      <w:pPr>
        <w:pStyle w:val="Heading1"/>
        <w:spacing w:before="0"/>
        <w:rPr>
          <w:u w:val="single"/>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243"/>
        <w:gridCol w:w="4763"/>
      </w:tblGrid>
      <w:tr w:rsidR="00F7254E" w:rsidRPr="00F7254E" w14:paraId="55F5D44A" w14:textId="77777777" w:rsidTr="00C26835">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CB319" w14:textId="77777777" w:rsidR="00A07FCF" w:rsidRPr="00F7254E" w:rsidRDefault="00A07FCF" w:rsidP="005C203B">
            <w:pPr>
              <w:rPr>
                <w:lang w:val="en-US"/>
              </w:rPr>
            </w:pPr>
            <w:r w:rsidRPr="00F7254E">
              <w:rPr>
                <w:lang w:val="en-US"/>
              </w:rPr>
              <w:t>Policy owner</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3F8C4A" w14:textId="33E893EE" w:rsidR="00A07FCF" w:rsidRPr="00F7254E" w:rsidRDefault="00981EDC" w:rsidP="005C203B">
            <w:pPr>
              <w:rPr>
                <w:lang w:val="en-US"/>
              </w:rPr>
            </w:pPr>
            <w:r>
              <w:t>Legal Team</w:t>
            </w:r>
          </w:p>
        </w:tc>
      </w:tr>
      <w:tr w:rsidR="00F7254E" w:rsidRPr="00F7254E" w14:paraId="418167B1" w14:textId="77777777" w:rsidTr="00C26835">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DF9D1" w14:textId="77777777" w:rsidR="00A07FCF" w:rsidRPr="00F7254E" w:rsidRDefault="00A07FCF" w:rsidP="005C203B">
            <w:pPr>
              <w:rPr>
                <w:lang w:val="en-US"/>
              </w:rPr>
            </w:pPr>
            <w:r w:rsidRPr="00F7254E">
              <w:rPr>
                <w:lang w:val="en-US"/>
              </w:rPr>
              <w:t>Author if different from above</w:t>
            </w:r>
          </w:p>
        </w:tc>
        <w:tc>
          <w:tcPr>
            <w:tcW w:w="4763" w:type="dxa"/>
            <w:tcBorders>
              <w:top w:val="nil"/>
              <w:left w:val="nil"/>
              <w:bottom w:val="single" w:sz="8" w:space="0" w:color="auto"/>
              <w:right w:val="single" w:sz="8" w:space="0" w:color="auto"/>
            </w:tcBorders>
            <w:tcMar>
              <w:top w:w="0" w:type="dxa"/>
              <w:left w:w="108" w:type="dxa"/>
              <w:bottom w:w="0" w:type="dxa"/>
              <w:right w:w="108" w:type="dxa"/>
            </w:tcMar>
          </w:tcPr>
          <w:p w14:paraId="28C5A616" w14:textId="77777777" w:rsidR="00A07FCF" w:rsidRPr="00F7254E" w:rsidRDefault="00F7254E" w:rsidP="005C203B">
            <w:pPr>
              <w:rPr>
                <w:lang w:val="en-US"/>
              </w:rPr>
            </w:pPr>
            <w:r>
              <w:rPr>
                <w:lang w:val="en-US"/>
              </w:rPr>
              <w:t>N/A</w:t>
            </w:r>
          </w:p>
        </w:tc>
      </w:tr>
      <w:tr w:rsidR="00F7254E" w:rsidRPr="00F7254E" w14:paraId="1E7725EA" w14:textId="77777777" w:rsidTr="00C26835">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3D901" w14:textId="77777777" w:rsidR="00A07FCF" w:rsidRPr="00F7254E" w:rsidRDefault="00A07FCF" w:rsidP="005C203B">
            <w:pPr>
              <w:rPr>
                <w:lang w:val="en-US"/>
              </w:rPr>
            </w:pPr>
            <w:r w:rsidRPr="00F7254E">
              <w:rPr>
                <w:lang w:val="en-US"/>
              </w:rPr>
              <w:t>Version</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2358BDD4" w14:textId="77777777" w:rsidR="00A07FCF" w:rsidRPr="00F7254E" w:rsidRDefault="00F7254E" w:rsidP="005C203B">
            <w:pPr>
              <w:rPr>
                <w:lang w:val="en-US"/>
              </w:rPr>
            </w:pPr>
            <w:r>
              <w:rPr>
                <w:lang w:val="en-US"/>
              </w:rPr>
              <w:t>Version 2</w:t>
            </w:r>
          </w:p>
        </w:tc>
      </w:tr>
      <w:tr w:rsidR="00F7254E" w:rsidRPr="00F7254E" w14:paraId="33E1FB56" w14:textId="77777777" w:rsidTr="00C26835">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648D0" w14:textId="77777777" w:rsidR="00A07FCF" w:rsidRPr="00F7254E" w:rsidRDefault="00A07FCF" w:rsidP="005C203B">
            <w:pPr>
              <w:rPr>
                <w:lang w:val="en-US"/>
              </w:rPr>
            </w:pPr>
            <w:r w:rsidRPr="00F7254E">
              <w:rPr>
                <w:lang w:val="en-US"/>
              </w:rPr>
              <w:t>Last Review Date</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1254465B" w14:textId="77777777" w:rsidR="00A07FCF" w:rsidRPr="00F7254E" w:rsidRDefault="00A07FCF" w:rsidP="005C203B">
            <w:pPr>
              <w:rPr>
                <w:lang w:val="en-US"/>
              </w:rPr>
            </w:pPr>
            <w:r w:rsidRPr="00F7254E">
              <w:rPr>
                <w:lang w:val="en-US"/>
              </w:rPr>
              <w:t>01/09/2022</w:t>
            </w:r>
          </w:p>
          <w:p w14:paraId="461BCF06" w14:textId="77777777" w:rsidR="00A07FCF" w:rsidRPr="00F7254E" w:rsidRDefault="00A07FCF" w:rsidP="005C203B">
            <w:pPr>
              <w:rPr>
                <w:lang w:val="en-US"/>
              </w:rPr>
            </w:pPr>
          </w:p>
        </w:tc>
      </w:tr>
      <w:tr w:rsidR="00F7254E" w:rsidRPr="00F7254E" w14:paraId="56A8A934" w14:textId="77777777" w:rsidTr="00C26835">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3EA21" w14:textId="77777777" w:rsidR="00A07FCF" w:rsidRPr="00F7254E" w:rsidRDefault="00A07FCF" w:rsidP="005C203B">
            <w:pPr>
              <w:rPr>
                <w:lang w:val="en-US"/>
              </w:rPr>
            </w:pPr>
            <w:r w:rsidRPr="00F7254E">
              <w:rPr>
                <w:lang w:val="en-US"/>
              </w:rPr>
              <w:t>Next Review Due</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1CE9F6AA" w14:textId="77777777" w:rsidR="00A07FCF" w:rsidRPr="00F7254E" w:rsidRDefault="003B605E" w:rsidP="005C203B">
            <w:pPr>
              <w:rPr>
                <w:lang w:val="en-US"/>
              </w:rPr>
            </w:pPr>
            <w:r>
              <w:rPr>
                <w:lang w:val="en-US"/>
              </w:rPr>
              <w:t>March 2024, unless circumstances require an earlier review</w:t>
            </w:r>
          </w:p>
        </w:tc>
      </w:tr>
    </w:tbl>
    <w:p w14:paraId="1F701ABE" w14:textId="77777777" w:rsidR="00A07FCF" w:rsidRDefault="00A07FCF" w:rsidP="005C203B">
      <w:pPr>
        <w:rPr>
          <w:color w:val="C00000"/>
        </w:rPr>
      </w:pPr>
    </w:p>
    <w:p w14:paraId="2ABE9F40" w14:textId="77777777" w:rsidR="00A07FCF" w:rsidRPr="00F7254E" w:rsidRDefault="00A07FCF" w:rsidP="005C203B">
      <w:r w:rsidRPr="00F7254E">
        <w:t>Approvals</w:t>
      </w:r>
    </w:p>
    <w:p w14:paraId="6DF024E0" w14:textId="77777777" w:rsidR="00A07FCF" w:rsidRPr="00F7254E" w:rsidRDefault="00A07FCF" w:rsidP="005C203B"/>
    <w:tbl>
      <w:tblPr>
        <w:tblW w:w="0" w:type="auto"/>
        <w:tblCellMar>
          <w:left w:w="0" w:type="dxa"/>
          <w:right w:w="0" w:type="dxa"/>
        </w:tblCellMar>
        <w:tblLook w:val="04A0" w:firstRow="1" w:lastRow="0" w:firstColumn="1" w:lastColumn="0" w:noHBand="0" w:noVBand="1"/>
      </w:tblPr>
      <w:tblGrid>
        <w:gridCol w:w="4243"/>
        <w:gridCol w:w="4763"/>
      </w:tblGrid>
      <w:tr w:rsidR="00F7254E" w:rsidRPr="00F7254E" w14:paraId="0A047EC3" w14:textId="77777777" w:rsidTr="005C203B">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C3A248" w14:textId="77777777" w:rsidR="00A07FCF" w:rsidRPr="00F7254E" w:rsidRDefault="00A07FCF" w:rsidP="005C203B">
            <w:pPr>
              <w:rPr>
                <w:b/>
                <w:bCs/>
                <w:lang w:val="en-US"/>
              </w:rPr>
            </w:pPr>
            <w:r w:rsidRPr="00F7254E">
              <w:rPr>
                <w:b/>
                <w:bCs/>
                <w:lang w:val="en-US"/>
              </w:rPr>
              <w:t>Committee / Individual</w:t>
            </w:r>
          </w:p>
        </w:tc>
        <w:tc>
          <w:tcPr>
            <w:tcW w:w="4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357634" w14:textId="77777777" w:rsidR="00A07FCF" w:rsidRPr="00F7254E" w:rsidRDefault="00A07FCF" w:rsidP="005C203B">
            <w:pPr>
              <w:rPr>
                <w:b/>
                <w:bCs/>
                <w:lang w:val="en-US"/>
              </w:rPr>
            </w:pPr>
            <w:r w:rsidRPr="00F7254E">
              <w:rPr>
                <w:b/>
                <w:bCs/>
                <w:lang w:val="en-US"/>
              </w:rPr>
              <w:t>Date</w:t>
            </w:r>
          </w:p>
        </w:tc>
      </w:tr>
      <w:tr w:rsidR="00F7254E" w:rsidRPr="00F7254E" w14:paraId="63BA4681" w14:textId="77777777" w:rsidTr="005C203B">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FB875" w14:textId="77777777" w:rsidR="00A07FCF" w:rsidRPr="00C26835" w:rsidRDefault="00E67B6B" w:rsidP="00C26835">
            <w:pPr>
              <w:rPr>
                <w:lang w:val="en-US"/>
              </w:rPr>
            </w:pPr>
            <w:r w:rsidRPr="00C26835">
              <w:rPr>
                <w:lang w:val="en-US"/>
              </w:rPr>
              <w:t>Information Governance Group (IGG)</w:t>
            </w:r>
          </w:p>
        </w:tc>
        <w:tc>
          <w:tcPr>
            <w:tcW w:w="4763" w:type="dxa"/>
            <w:tcBorders>
              <w:top w:val="nil"/>
              <w:left w:val="nil"/>
              <w:bottom w:val="single" w:sz="8" w:space="0" w:color="auto"/>
              <w:right w:val="single" w:sz="8" w:space="0" w:color="auto"/>
            </w:tcBorders>
            <w:tcMar>
              <w:top w:w="0" w:type="dxa"/>
              <w:left w:w="108" w:type="dxa"/>
              <w:bottom w:w="0" w:type="dxa"/>
              <w:right w:w="108" w:type="dxa"/>
            </w:tcMar>
            <w:hideMark/>
          </w:tcPr>
          <w:p w14:paraId="63D4547E" w14:textId="0DA742FA" w:rsidR="00A07FCF" w:rsidRPr="00F7254E" w:rsidRDefault="008E3674" w:rsidP="005C203B">
            <w:pPr>
              <w:rPr>
                <w:lang w:val="en-US"/>
              </w:rPr>
            </w:pPr>
            <w:r w:rsidRPr="008E3674">
              <w:rPr>
                <w:lang w:val="en-US"/>
              </w:rPr>
              <w:t>Approved by the Information Governance Group on 28 Nov 2022</w:t>
            </w:r>
          </w:p>
        </w:tc>
      </w:tr>
    </w:tbl>
    <w:p w14:paraId="4C787615" w14:textId="77777777" w:rsidR="00494600" w:rsidRPr="00665744" w:rsidRDefault="00494600" w:rsidP="00494600">
      <w:pPr>
        <w:jc w:val="both"/>
      </w:pPr>
    </w:p>
    <w:p w14:paraId="4456F465" w14:textId="77777777" w:rsidR="00494600" w:rsidRPr="00890F3C" w:rsidRDefault="00494600" w:rsidP="00494600">
      <w:pPr>
        <w:shd w:val="clear" w:color="auto" w:fill="FFFFFF"/>
        <w:jc w:val="both"/>
        <w:textAlignment w:val="baseline"/>
        <w:rPr>
          <w:rFonts w:eastAsia="Times New Roman"/>
          <w:b/>
        </w:rPr>
      </w:pPr>
    </w:p>
    <w:p w14:paraId="56EAAEB1" w14:textId="6A59BBDE" w:rsidR="00494600" w:rsidRPr="00C26835" w:rsidRDefault="00494600" w:rsidP="00C26835">
      <w:pPr>
        <w:shd w:val="clear" w:color="auto" w:fill="FFFFFF"/>
        <w:jc w:val="both"/>
        <w:textAlignment w:val="baseline"/>
        <w:rPr>
          <w:rFonts w:eastAsia="Times New Roman"/>
          <w:b/>
        </w:rPr>
      </w:pPr>
      <w:r w:rsidRPr="00C26835">
        <w:rPr>
          <w:rFonts w:eastAsia="Times New Roman"/>
          <w:b/>
        </w:rPr>
        <w:t xml:space="preserve">This data protection policy relates to obligations under the </w:t>
      </w:r>
      <w:r w:rsidR="00995417" w:rsidRPr="00C26835">
        <w:rPr>
          <w:rFonts w:eastAsia="Times New Roman"/>
          <w:b/>
        </w:rPr>
        <w:t xml:space="preserve">Data Protection Legislation, which includes </w:t>
      </w:r>
      <w:proofErr w:type="gramStart"/>
      <w:r w:rsidR="00995417" w:rsidRPr="00C26835">
        <w:rPr>
          <w:rFonts w:eastAsia="Times New Roman"/>
          <w:b/>
        </w:rPr>
        <w:t xml:space="preserve">the  </w:t>
      </w:r>
      <w:r w:rsidRPr="00C26835">
        <w:rPr>
          <w:rFonts w:eastAsia="Times New Roman"/>
          <w:b/>
        </w:rPr>
        <w:t>Data</w:t>
      </w:r>
      <w:proofErr w:type="gramEnd"/>
      <w:r w:rsidRPr="00C26835">
        <w:rPr>
          <w:rFonts w:eastAsia="Times New Roman"/>
          <w:b/>
        </w:rPr>
        <w:t xml:space="preserve"> Protection Act 2018 (implemented by the General Data Protection Regulations [GDPR] )</w:t>
      </w:r>
    </w:p>
    <w:p w14:paraId="043C9AA4" w14:textId="77777777" w:rsidR="00494600" w:rsidRPr="00890F3C" w:rsidRDefault="00494600" w:rsidP="00494600">
      <w:pPr>
        <w:shd w:val="clear" w:color="auto" w:fill="FFFFFF"/>
        <w:jc w:val="both"/>
        <w:textAlignment w:val="baseline"/>
        <w:rPr>
          <w:rFonts w:eastAsia="Times New Roman"/>
          <w:b/>
        </w:rPr>
      </w:pPr>
    </w:p>
    <w:p w14:paraId="24052CFE" w14:textId="77777777" w:rsidR="00494600" w:rsidRPr="00890F3C" w:rsidRDefault="00494600" w:rsidP="00494600">
      <w:pPr>
        <w:shd w:val="clear" w:color="auto" w:fill="FFFFFF"/>
        <w:jc w:val="both"/>
        <w:textAlignment w:val="baseline"/>
        <w:rPr>
          <w:rFonts w:eastAsia="Times New Roman"/>
        </w:rPr>
      </w:pPr>
    </w:p>
    <w:p w14:paraId="759BD494" w14:textId="77777777" w:rsidR="00494600" w:rsidRPr="00890F3C" w:rsidRDefault="00494600" w:rsidP="00494600">
      <w:pPr>
        <w:pStyle w:val="ListParagraph"/>
        <w:widowControl/>
        <w:numPr>
          <w:ilvl w:val="0"/>
          <w:numId w:val="6"/>
        </w:numPr>
        <w:shd w:val="clear" w:color="auto" w:fill="FFFFFF"/>
        <w:autoSpaceDE/>
        <w:autoSpaceDN/>
        <w:ind w:left="426"/>
        <w:contextualSpacing/>
        <w:jc w:val="both"/>
        <w:textAlignment w:val="baseline"/>
        <w:rPr>
          <w:rFonts w:eastAsia="Times New Roman"/>
          <w:b/>
        </w:rPr>
      </w:pPr>
      <w:r w:rsidRPr="00890F3C">
        <w:rPr>
          <w:rFonts w:eastAsia="Times New Roman"/>
          <w:b/>
        </w:rPr>
        <w:t>Objectives</w:t>
      </w:r>
      <w:r w:rsidR="0002568A">
        <w:rPr>
          <w:rFonts w:eastAsia="Times New Roman"/>
          <w:b/>
        </w:rPr>
        <w:t xml:space="preserve"> and Scope </w:t>
      </w:r>
      <w:r w:rsidRPr="00890F3C">
        <w:rPr>
          <w:rFonts w:eastAsia="Times New Roman"/>
          <w:b/>
        </w:rPr>
        <w:t xml:space="preserve"> of the policy</w:t>
      </w:r>
    </w:p>
    <w:p w14:paraId="76371677" w14:textId="77777777" w:rsidR="00494600" w:rsidRPr="00890F3C" w:rsidRDefault="00494600" w:rsidP="00494600">
      <w:pPr>
        <w:widowControl/>
        <w:shd w:val="clear" w:color="auto" w:fill="FFFFFF"/>
        <w:autoSpaceDE/>
        <w:autoSpaceDN/>
        <w:contextualSpacing/>
        <w:jc w:val="both"/>
        <w:textAlignment w:val="baseline"/>
        <w:rPr>
          <w:rFonts w:eastAsia="Times New Roman"/>
          <w:b/>
        </w:rPr>
      </w:pPr>
    </w:p>
    <w:p w14:paraId="3A65D83B"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r w:rsidRPr="00890F3C">
        <w:rPr>
          <w:rFonts w:eastAsia="Times New Roman"/>
          <w:b/>
        </w:rPr>
        <w:tab/>
      </w:r>
      <w:r w:rsidRPr="00890F3C">
        <w:rPr>
          <w:rFonts w:eastAsia="Times New Roman"/>
        </w:rPr>
        <w:t xml:space="preserve">To ensure that: </w:t>
      </w:r>
    </w:p>
    <w:p w14:paraId="702512CB" w14:textId="77777777" w:rsidR="00494600" w:rsidRPr="00890F3C" w:rsidRDefault="00494600" w:rsidP="00494600">
      <w:pPr>
        <w:shd w:val="clear" w:color="auto" w:fill="FFFFFF"/>
        <w:jc w:val="both"/>
        <w:textAlignment w:val="baseline"/>
        <w:rPr>
          <w:rFonts w:eastAsia="Times New Roman"/>
        </w:rPr>
      </w:pPr>
    </w:p>
    <w:p w14:paraId="594EDAE6"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Proper procedures are in place for the processing and management of personal</w:t>
      </w:r>
      <w:r w:rsidRPr="00890F3C">
        <w:rPr>
          <w:spacing w:val="-50"/>
        </w:rPr>
        <w:t xml:space="preserve"> </w:t>
      </w:r>
      <w:r w:rsidR="008D261F">
        <w:rPr>
          <w:spacing w:val="-50"/>
        </w:rPr>
        <w:t xml:space="preserve"> </w:t>
      </w:r>
      <w:r w:rsidRPr="00890F3C">
        <w:t>data</w:t>
      </w:r>
      <w:r w:rsidRPr="00890F3C">
        <w:rPr>
          <w:rFonts w:eastAsia="Times New Roman"/>
        </w:rPr>
        <w:t>.</w:t>
      </w:r>
    </w:p>
    <w:p w14:paraId="41308BC9" w14:textId="77777777" w:rsidR="00494600" w:rsidRPr="00890F3C" w:rsidRDefault="00494600" w:rsidP="00494600">
      <w:pPr>
        <w:widowControl/>
        <w:shd w:val="clear" w:color="auto" w:fill="FFFFFF"/>
        <w:autoSpaceDE/>
        <w:autoSpaceDN/>
        <w:ind w:left="720"/>
        <w:jc w:val="both"/>
        <w:textAlignment w:val="baseline"/>
        <w:rPr>
          <w:rFonts w:eastAsia="Times New Roman"/>
        </w:rPr>
      </w:pPr>
    </w:p>
    <w:p w14:paraId="7E6F7CE0"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There is someone within the organisation who has specific responsibilities for data protection</w:t>
      </w:r>
      <w:r w:rsidRPr="00890F3C">
        <w:rPr>
          <w:spacing w:val="-3"/>
        </w:rPr>
        <w:t xml:space="preserve"> </w:t>
      </w:r>
      <w:r w:rsidRPr="00890F3C">
        <w:t>compliance.</w:t>
      </w:r>
    </w:p>
    <w:p w14:paraId="16169BEF" w14:textId="77777777" w:rsidR="00494600" w:rsidRPr="00890F3C" w:rsidRDefault="00494600" w:rsidP="00494600">
      <w:pPr>
        <w:pStyle w:val="ListParagraph"/>
      </w:pPr>
    </w:p>
    <w:p w14:paraId="7C68CB5B"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 xml:space="preserve">A supportive environment and culture of best practice </w:t>
      </w:r>
      <w:r w:rsidR="008D261F">
        <w:t xml:space="preserve">in relation to </w:t>
      </w:r>
      <w:r w:rsidRPr="00890F3C">
        <w:t>processing of personal data is provided for</w:t>
      </w:r>
      <w:r w:rsidRPr="00890F3C">
        <w:rPr>
          <w:spacing w:val="-1"/>
        </w:rPr>
        <w:t xml:space="preserve"> </w:t>
      </w:r>
      <w:r w:rsidRPr="00890F3C">
        <w:t>staff</w:t>
      </w:r>
      <w:r w:rsidRPr="00890F3C">
        <w:rPr>
          <w:rFonts w:eastAsia="Times New Roman"/>
        </w:rPr>
        <w:t>.</w:t>
      </w:r>
    </w:p>
    <w:p w14:paraId="5B4E505A" w14:textId="77777777" w:rsidR="00494600" w:rsidRPr="00890F3C" w:rsidRDefault="00494600" w:rsidP="00494600">
      <w:pPr>
        <w:pStyle w:val="ListParagraph"/>
      </w:pPr>
    </w:p>
    <w:p w14:paraId="666D74EB"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All staff understand that their responsibilities when processing personal data and that methods of handling that information are clearly</w:t>
      </w:r>
      <w:r w:rsidRPr="00890F3C">
        <w:rPr>
          <w:spacing w:val="-18"/>
        </w:rPr>
        <w:t xml:space="preserve"> </w:t>
      </w:r>
      <w:r w:rsidRPr="00890F3C">
        <w:t>understood.</w:t>
      </w:r>
    </w:p>
    <w:p w14:paraId="102B4E9D" w14:textId="77777777" w:rsidR="00494600" w:rsidRPr="00890F3C" w:rsidRDefault="00494600" w:rsidP="00494600">
      <w:pPr>
        <w:pStyle w:val="ListParagraph"/>
      </w:pPr>
    </w:p>
    <w:p w14:paraId="68739E72"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Individuals wishing to submit a subject access request and exercise any of the other individual rights are fully aware of how to do this and who to</w:t>
      </w:r>
      <w:r w:rsidRPr="00890F3C">
        <w:rPr>
          <w:spacing w:val="-37"/>
        </w:rPr>
        <w:t xml:space="preserve"> </w:t>
      </w:r>
      <w:r w:rsidRPr="00890F3C">
        <w:t>contact</w:t>
      </w:r>
      <w:r w:rsidRPr="00890F3C">
        <w:rPr>
          <w:rFonts w:eastAsia="Times New Roman"/>
        </w:rPr>
        <w:t>.</w:t>
      </w:r>
    </w:p>
    <w:p w14:paraId="36926B35" w14:textId="77777777" w:rsidR="00494600" w:rsidRPr="00890F3C" w:rsidRDefault="00494600" w:rsidP="00494600">
      <w:pPr>
        <w:pStyle w:val="ListParagraph"/>
      </w:pPr>
    </w:p>
    <w:p w14:paraId="2A27AA65"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Staff understand that subject access requests (and other relevant requests) need to be dealt with promptly and</w:t>
      </w:r>
      <w:r w:rsidRPr="00890F3C">
        <w:rPr>
          <w:spacing w:val="-4"/>
        </w:rPr>
        <w:t xml:space="preserve"> </w:t>
      </w:r>
      <w:r w:rsidRPr="00890F3C">
        <w:t>courteously</w:t>
      </w:r>
      <w:r w:rsidRPr="00890F3C">
        <w:rPr>
          <w:rFonts w:eastAsia="Times New Roman"/>
        </w:rPr>
        <w:t>.</w:t>
      </w:r>
    </w:p>
    <w:p w14:paraId="4EC0ABDF" w14:textId="77777777" w:rsidR="00494600" w:rsidRPr="00890F3C" w:rsidRDefault="00494600" w:rsidP="00494600">
      <w:pPr>
        <w:pStyle w:val="ListParagraph"/>
      </w:pPr>
    </w:p>
    <w:p w14:paraId="508E7948"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lastRenderedPageBreak/>
        <w:t>Individuals are assured that their personal data is processed in accordance with the data protection principles, that their data is secure at all times and safe from unauthorised access, alteration, use or loss.</w:t>
      </w:r>
    </w:p>
    <w:p w14:paraId="04CF8EE2" w14:textId="77777777" w:rsidR="00494600" w:rsidRPr="00890F3C" w:rsidRDefault="00494600" w:rsidP="00494600">
      <w:pPr>
        <w:pStyle w:val="ListParagraph"/>
      </w:pPr>
    </w:p>
    <w:p w14:paraId="29A931C5" w14:textId="77777777" w:rsidR="00494600" w:rsidRPr="00890F3C" w:rsidRDefault="00494600" w:rsidP="00494600">
      <w:pPr>
        <w:widowControl/>
        <w:numPr>
          <w:ilvl w:val="0"/>
          <w:numId w:val="5"/>
        </w:numPr>
        <w:shd w:val="clear" w:color="auto" w:fill="FFFFFF"/>
        <w:autoSpaceDE/>
        <w:autoSpaceDN/>
        <w:jc w:val="both"/>
        <w:textAlignment w:val="baseline"/>
        <w:rPr>
          <w:rFonts w:eastAsia="Times New Roman"/>
        </w:rPr>
      </w:pPr>
      <w:r w:rsidRPr="00890F3C">
        <w:t>Other organisations with whom personal data needs to be shared or transferred, meets compliance</w:t>
      </w:r>
      <w:r w:rsidRPr="00890F3C">
        <w:rPr>
          <w:spacing w:val="-5"/>
        </w:rPr>
        <w:t xml:space="preserve"> </w:t>
      </w:r>
      <w:r w:rsidRPr="00890F3C">
        <w:t>requirements</w:t>
      </w:r>
      <w:r w:rsidRPr="00890F3C">
        <w:rPr>
          <w:rFonts w:eastAsia="Times New Roman"/>
        </w:rPr>
        <w:t>.</w:t>
      </w:r>
    </w:p>
    <w:p w14:paraId="5AE718D9" w14:textId="77777777" w:rsidR="00494600" w:rsidRPr="00890F3C" w:rsidRDefault="00494600" w:rsidP="00494600">
      <w:pPr>
        <w:pStyle w:val="ListParagraph"/>
      </w:pPr>
    </w:p>
    <w:p w14:paraId="6EB12534" w14:textId="77777777" w:rsidR="00494600" w:rsidRPr="00C86048" w:rsidRDefault="00494600" w:rsidP="00494600">
      <w:pPr>
        <w:widowControl/>
        <w:numPr>
          <w:ilvl w:val="0"/>
          <w:numId w:val="5"/>
        </w:numPr>
        <w:shd w:val="clear" w:color="auto" w:fill="FFFFFF"/>
        <w:autoSpaceDE/>
        <w:autoSpaceDN/>
        <w:jc w:val="both"/>
        <w:textAlignment w:val="baseline"/>
        <w:rPr>
          <w:rFonts w:eastAsia="Times New Roman"/>
        </w:rPr>
      </w:pPr>
      <w:r w:rsidRPr="00890F3C">
        <w:t>Any new systems being implemented are assessed using a Data Protection Impact Assessment to determine whether they will hold personal data, whether the system presents any privacy risks, damage or impact to individuals’ data and that it meets this policy’s requirements</w:t>
      </w:r>
    </w:p>
    <w:p w14:paraId="1CED3D12" w14:textId="77777777" w:rsidR="00C86048" w:rsidRDefault="00C86048" w:rsidP="00C86048">
      <w:pPr>
        <w:pStyle w:val="ListParagraph"/>
        <w:rPr>
          <w:rFonts w:eastAsia="Times New Roman"/>
        </w:rPr>
      </w:pPr>
    </w:p>
    <w:p w14:paraId="544C94B5" w14:textId="56A29976" w:rsidR="0002568A" w:rsidRPr="00890F3C" w:rsidRDefault="0002568A" w:rsidP="008E3674">
      <w:pPr>
        <w:pStyle w:val="CommentText"/>
        <w:numPr>
          <w:ilvl w:val="0"/>
          <w:numId w:val="2"/>
        </w:numPr>
        <w:rPr>
          <w:rStyle w:val="Hyperlink"/>
          <w:color w:val="auto"/>
          <w:sz w:val="22"/>
          <w:szCs w:val="22"/>
          <w:u w:val="none"/>
        </w:rPr>
      </w:pPr>
      <w:r w:rsidRPr="00890F3C">
        <w:rPr>
          <w:sz w:val="22"/>
          <w:szCs w:val="22"/>
        </w:rPr>
        <w:t xml:space="preserve">This policy applies to all personal data and special categories of data (sensitive personal data) collected and processed by Middlesex University in the conduct of its business, in electronic format in any medium and within structured paper filing systems. Further information on what is special category personal data can be found on the ICO website </w:t>
      </w:r>
      <w:r w:rsidR="007F73BC">
        <w:rPr>
          <w:sz w:val="22"/>
          <w:szCs w:val="22"/>
        </w:rPr>
        <w:t xml:space="preserve">. </w:t>
      </w:r>
    </w:p>
    <w:p w14:paraId="18F1D44D" w14:textId="77777777" w:rsidR="0002568A" w:rsidRPr="00890F3C" w:rsidRDefault="0002568A" w:rsidP="0002568A">
      <w:pPr>
        <w:pStyle w:val="CommentText"/>
        <w:jc w:val="both"/>
        <w:rPr>
          <w:sz w:val="22"/>
          <w:szCs w:val="22"/>
        </w:rPr>
      </w:pPr>
    </w:p>
    <w:p w14:paraId="106A3AB5" w14:textId="77777777" w:rsidR="0002568A" w:rsidRPr="00890F3C" w:rsidRDefault="0002568A" w:rsidP="0002568A">
      <w:pPr>
        <w:pStyle w:val="ListParagraph"/>
        <w:numPr>
          <w:ilvl w:val="0"/>
          <w:numId w:val="2"/>
        </w:numPr>
        <w:tabs>
          <w:tab w:val="left" w:pos="940"/>
          <w:tab w:val="left" w:pos="941"/>
        </w:tabs>
        <w:ind w:right="763" w:hanging="360"/>
        <w:jc w:val="both"/>
      </w:pPr>
      <w:r w:rsidRPr="00890F3C">
        <w:t>This policy applies to all University employees, whether permanent, temporary, contractors, or consultants and</w:t>
      </w:r>
      <w:r w:rsidRPr="00890F3C">
        <w:rPr>
          <w:spacing w:val="-8"/>
        </w:rPr>
        <w:t xml:space="preserve"> </w:t>
      </w:r>
      <w:r w:rsidRPr="00890F3C">
        <w:t>students.</w:t>
      </w:r>
    </w:p>
    <w:p w14:paraId="565AF616" w14:textId="77777777" w:rsidR="0002568A" w:rsidRPr="00890F3C" w:rsidRDefault="0002568A" w:rsidP="0002568A">
      <w:pPr>
        <w:tabs>
          <w:tab w:val="left" w:pos="940"/>
          <w:tab w:val="left" w:pos="941"/>
        </w:tabs>
        <w:ind w:right="763"/>
        <w:jc w:val="both"/>
      </w:pPr>
    </w:p>
    <w:p w14:paraId="7A9F9D01" w14:textId="77777777" w:rsidR="0002568A" w:rsidRPr="00890F3C" w:rsidRDefault="0002568A" w:rsidP="0002568A">
      <w:pPr>
        <w:pStyle w:val="ListParagraph"/>
        <w:numPr>
          <w:ilvl w:val="0"/>
          <w:numId w:val="2"/>
        </w:numPr>
        <w:tabs>
          <w:tab w:val="left" w:pos="940"/>
          <w:tab w:val="left" w:pos="941"/>
        </w:tabs>
        <w:ind w:hanging="360"/>
        <w:jc w:val="both"/>
      </w:pPr>
      <w:r w:rsidRPr="00890F3C">
        <w:t>Disciplinary action may be taken against staff failing to comply with this</w:t>
      </w:r>
      <w:r w:rsidRPr="00890F3C">
        <w:rPr>
          <w:spacing w:val="-45"/>
        </w:rPr>
        <w:t xml:space="preserve"> </w:t>
      </w:r>
      <w:r w:rsidRPr="00890F3C">
        <w:t>policy.</w:t>
      </w:r>
    </w:p>
    <w:p w14:paraId="58572899" w14:textId="77777777" w:rsidR="0002568A" w:rsidRPr="00890F3C" w:rsidRDefault="0002568A" w:rsidP="0002568A">
      <w:pPr>
        <w:tabs>
          <w:tab w:val="left" w:pos="940"/>
          <w:tab w:val="left" w:pos="941"/>
        </w:tabs>
        <w:jc w:val="both"/>
      </w:pPr>
    </w:p>
    <w:p w14:paraId="22BD4B87" w14:textId="621055DF" w:rsidR="0002568A" w:rsidRPr="00890F3C" w:rsidRDefault="0002568A" w:rsidP="0002568A">
      <w:pPr>
        <w:pStyle w:val="ListParagraph"/>
        <w:numPr>
          <w:ilvl w:val="0"/>
          <w:numId w:val="2"/>
        </w:numPr>
        <w:tabs>
          <w:tab w:val="left" w:pos="940"/>
          <w:tab w:val="left" w:pos="941"/>
        </w:tabs>
        <w:ind w:right="271" w:hanging="360"/>
        <w:jc w:val="both"/>
        <w:rPr>
          <w:b/>
        </w:rPr>
      </w:pPr>
      <w:r w:rsidRPr="00890F3C">
        <w:t xml:space="preserve">Middlesex University is the Data Controller of, and registered with the Information Commissioner’s Office (ICO) for collecting and using personal data. The </w:t>
      </w:r>
      <w:r w:rsidR="00FD2312">
        <w:t xml:space="preserve">ICO </w:t>
      </w:r>
      <w:r w:rsidRPr="00890F3C">
        <w:t>registration reference is</w:t>
      </w:r>
      <w:r w:rsidRPr="00890F3C">
        <w:rPr>
          <w:spacing w:val="-5"/>
        </w:rPr>
        <w:t xml:space="preserve"> </w:t>
      </w:r>
      <w:r w:rsidRPr="00890F3C">
        <w:t>Z5439728</w:t>
      </w:r>
      <w:r w:rsidRPr="00890F3C">
        <w:rPr>
          <w:b/>
        </w:rPr>
        <w:t>.</w:t>
      </w:r>
    </w:p>
    <w:p w14:paraId="53073AA1" w14:textId="77777777" w:rsidR="0002568A" w:rsidRDefault="0002568A" w:rsidP="0002568A">
      <w:pPr>
        <w:tabs>
          <w:tab w:val="left" w:pos="940"/>
          <w:tab w:val="left" w:pos="941"/>
        </w:tabs>
        <w:ind w:right="271"/>
        <w:jc w:val="both"/>
        <w:rPr>
          <w:b/>
        </w:rPr>
      </w:pPr>
    </w:p>
    <w:p w14:paraId="5761225B" w14:textId="615AE09D" w:rsidR="0002568A" w:rsidRPr="002E148B" w:rsidRDefault="0002568A" w:rsidP="002E148B">
      <w:pPr>
        <w:pStyle w:val="ListParagraph"/>
        <w:numPr>
          <w:ilvl w:val="0"/>
          <w:numId w:val="2"/>
        </w:numPr>
        <w:tabs>
          <w:tab w:val="left" w:pos="940"/>
          <w:tab w:val="left" w:pos="941"/>
        </w:tabs>
        <w:ind w:right="271"/>
        <w:jc w:val="both"/>
      </w:pPr>
      <w:r w:rsidRPr="002E148B">
        <w:t>The following other companies will apply this policy as applicable: (i) MU Ventures Limited (</w:t>
      </w:r>
      <w:r w:rsidR="00FD2312">
        <w:t xml:space="preserve">ICO </w:t>
      </w:r>
      <w:r w:rsidRPr="002E148B">
        <w:t xml:space="preserve">registration reference ZB192360) and </w:t>
      </w:r>
      <w:r w:rsidR="002E148B">
        <w:t xml:space="preserve">(ii) </w:t>
      </w:r>
      <w:r w:rsidR="002E148B" w:rsidRPr="002E148B">
        <w:t>MU Services Limited (</w:t>
      </w:r>
      <w:r w:rsidR="00FD2312">
        <w:t xml:space="preserve">ICO registration reference </w:t>
      </w:r>
      <w:r w:rsidR="002E148B" w:rsidRPr="002E148B">
        <w:t>ZB192320)</w:t>
      </w:r>
      <w:r w:rsidR="008E3674">
        <w:t>.</w:t>
      </w:r>
    </w:p>
    <w:p w14:paraId="446FDE2A" w14:textId="77777777" w:rsidR="00C86048" w:rsidRPr="00890F3C" w:rsidRDefault="00C86048" w:rsidP="00C86048">
      <w:pPr>
        <w:widowControl/>
        <w:shd w:val="clear" w:color="auto" w:fill="FFFFFF"/>
        <w:autoSpaceDE/>
        <w:autoSpaceDN/>
        <w:ind w:left="360"/>
        <w:jc w:val="both"/>
        <w:textAlignment w:val="baseline"/>
        <w:rPr>
          <w:rFonts w:eastAsia="Times New Roman"/>
        </w:rPr>
      </w:pPr>
    </w:p>
    <w:p w14:paraId="12AADAAF" w14:textId="77777777" w:rsidR="00494600" w:rsidRPr="00890F3C" w:rsidRDefault="00494600" w:rsidP="00494600">
      <w:pPr>
        <w:shd w:val="clear" w:color="auto" w:fill="FFFFFF"/>
        <w:jc w:val="both"/>
        <w:textAlignment w:val="baseline"/>
        <w:rPr>
          <w:rFonts w:eastAsia="Times New Roman"/>
        </w:rPr>
      </w:pPr>
    </w:p>
    <w:p w14:paraId="3F9434DB" w14:textId="77777777" w:rsidR="00494600" w:rsidRPr="00890F3C" w:rsidRDefault="00494600" w:rsidP="00494600">
      <w:pPr>
        <w:pStyle w:val="ListParagraph"/>
        <w:widowControl/>
        <w:numPr>
          <w:ilvl w:val="0"/>
          <w:numId w:val="6"/>
        </w:numPr>
        <w:shd w:val="clear" w:color="auto" w:fill="FFFFFF"/>
        <w:autoSpaceDE/>
        <w:autoSpaceDN/>
        <w:ind w:left="426"/>
        <w:contextualSpacing/>
        <w:jc w:val="both"/>
        <w:textAlignment w:val="baseline"/>
        <w:rPr>
          <w:rFonts w:eastAsia="Times New Roman"/>
          <w:b/>
        </w:rPr>
      </w:pPr>
      <w:r w:rsidRPr="00890F3C">
        <w:rPr>
          <w:rFonts w:eastAsia="Times New Roman"/>
          <w:b/>
        </w:rPr>
        <w:t>The data protection principles and individual rights</w:t>
      </w:r>
      <w:r w:rsidRPr="00890F3C">
        <w:rPr>
          <w:rFonts w:eastAsia="Times New Roman"/>
        </w:rPr>
        <w:t xml:space="preserve"> </w:t>
      </w:r>
    </w:p>
    <w:p w14:paraId="33BC81C3" w14:textId="77777777" w:rsidR="00494600" w:rsidRPr="00890F3C" w:rsidRDefault="00494600" w:rsidP="00494600">
      <w:pPr>
        <w:pStyle w:val="ListParagraph"/>
        <w:widowControl/>
        <w:shd w:val="clear" w:color="auto" w:fill="FFFFFF"/>
        <w:autoSpaceDE/>
        <w:autoSpaceDN/>
        <w:ind w:left="426" w:firstLine="0"/>
        <w:contextualSpacing/>
        <w:jc w:val="both"/>
        <w:textAlignment w:val="baseline"/>
        <w:rPr>
          <w:rFonts w:eastAsia="Times New Roman"/>
          <w:b/>
        </w:rPr>
      </w:pPr>
    </w:p>
    <w:p w14:paraId="61CAE543" w14:textId="77777777" w:rsidR="00494600" w:rsidRPr="00890F3C" w:rsidRDefault="00494600" w:rsidP="00494600">
      <w:pPr>
        <w:pStyle w:val="BodyText"/>
        <w:ind w:left="851" w:right="436" w:firstLine="0"/>
        <w:jc w:val="both"/>
      </w:pPr>
      <w:r w:rsidRPr="00890F3C">
        <w:t>The General Data Protection Regulation (GDPR) contains seven “Data Protection Principles” set out in Article 5. These specify that personal data must be:</w:t>
      </w:r>
    </w:p>
    <w:p w14:paraId="3FCA29DC" w14:textId="77777777" w:rsidR="00494600" w:rsidRPr="00890F3C" w:rsidRDefault="00494600" w:rsidP="00494600">
      <w:pPr>
        <w:pStyle w:val="BodyText"/>
        <w:ind w:left="851" w:right="436" w:firstLine="0"/>
        <w:jc w:val="both"/>
      </w:pPr>
    </w:p>
    <w:p w14:paraId="49B4B3B0" w14:textId="77777777" w:rsidR="00494600" w:rsidRPr="00890F3C" w:rsidRDefault="00494600" w:rsidP="00494600">
      <w:pPr>
        <w:pStyle w:val="BodyText"/>
        <w:numPr>
          <w:ilvl w:val="0"/>
          <w:numId w:val="7"/>
        </w:numPr>
        <w:ind w:right="436"/>
        <w:jc w:val="both"/>
      </w:pPr>
      <w:r w:rsidRPr="00890F3C">
        <w:t>Processed lawfully, fairly and in a transparent manner in relation to</w:t>
      </w:r>
      <w:r w:rsidRPr="00890F3C">
        <w:rPr>
          <w:spacing w:val="-38"/>
        </w:rPr>
        <w:t xml:space="preserve"> </w:t>
      </w:r>
      <w:r w:rsidRPr="00890F3C">
        <w:t>individuals;</w:t>
      </w:r>
    </w:p>
    <w:p w14:paraId="345E4DD1" w14:textId="77777777" w:rsidR="00494600" w:rsidRPr="00890F3C" w:rsidRDefault="00494600" w:rsidP="00494600">
      <w:pPr>
        <w:pStyle w:val="BodyText"/>
        <w:ind w:left="1571" w:right="436" w:firstLine="0"/>
        <w:jc w:val="both"/>
      </w:pPr>
    </w:p>
    <w:p w14:paraId="20DC0D77" w14:textId="77777777" w:rsidR="00494600" w:rsidRPr="00890F3C" w:rsidRDefault="00494600" w:rsidP="00494600">
      <w:pPr>
        <w:pStyle w:val="BodyText"/>
        <w:numPr>
          <w:ilvl w:val="0"/>
          <w:numId w:val="7"/>
        </w:numPr>
        <w:ind w:right="436"/>
        <w:jc w:val="both"/>
      </w:pPr>
      <w:r w:rsidRPr="00890F3C">
        <w:t>Collected for specified, explicit and legitimate purposes and not further processed in a manner that is incompatible with those</w:t>
      </w:r>
      <w:r w:rsidRPr="00890F3C">
        <w:rPr>
          <w:spacing w:val="-4"/>
        </w:rPr>
        <w:t xml:space="preserve"> </w:t>
      </w:r>
      <w:r w:rsidRPr="00890F3C">
        <w:t>purposes;</w:t>
      </w:r>
    </w:p>
    <w:p w14:paraId="34FD4D19" w14:textId="77777777" w:rsidR="00494600" w:rsidRPr="00890F3C" w:rsidRDefault="00494600" w:rsidP="00494600">
      <w:pPr>
        <w:pStyle w:val="ListParagraph"/>
      </w:pPr>
    </w:p>
    <w:p w14:paraId="74837AC4" w14:textId="77777777" w:rsidR="00494600" w:rsidRPr="00890F3C" w:rsidRDefault="00494600" w:rsidP="00494600">
      <w:pPr>
        <w:pStyle w:val="BodyText"/>
        <w:numPr>
          <w:ilvl w:val="0"/>
          <w:numId w:val="7"/>
        </w:numPr>
        <w:ind w:right="436"/>
        <w:jc w:val="both"/>
      </w:pPr>
      <w:r w:rsidRPr="00890F3C">
        <w:t>Adequate, relevant and limited to what is necessary in relation to the</w:t>
      </w:r>
      <w:r w:rsidRPr="00890F3C">
        <w:rPr>
          <w:spacing w:val="-43"/>
        </w:rPr>
        <w:t xml:space="preserve"> </w:t>
      </w:r>
      <w:r w:rsidRPr="00890F3C">
        <w:t>purposes.</w:t>
      </w:r>
    </w:p>
    <w:p w14:paraId="7309A45D" w14:textId="77777777" w:rsidR="00494600" w:rsidRPr="00890F3C" w:rsidRDefault="00494600" w:rsidP="00494600">
      <w:pPr>
        <w:pStyle w:val="ListParagraph"/>
      </w:pPr>
    </w:p>
    <w:p w14:paraId="53F38B08" w14:textId="77777777" w:rsidR="00494600" w:rsidRPr="00890F3C" w:rsidRDefault="00494600" w:rsidP="00494600">
      <w:pPr>
        <w:pStyle w:val="BodyText"/>
        <w:numPr>
          <w:ilvl w:val="0"/>
          <w:numId w:val="7"/>
        </w:numPr>
        <w:ind w:right="436"/>
        <w:jc w:val="both"/>
      </w:pPr>
      <w:r w:rsidRPr="00890F3C">
        <w:t>Accurate and, where necessary, kept up to</w:t>
      </w:r>
      <w:r w:rsidRPr="00890F3C">
        <w:rPr>
          <w:spacing w:val="-14"/>
        </w:rPr>
        <w:t xml:space="preserve"> </w:t>
      </w:r>
      <w:r w:rsidRPr="00890F3C">
        <w:t>date.</w:t>
      </w:r>
    </w:p>
    <w:p w14:paraId="41298680" w14:textId="77777777" w:rsidR="00494600" w:rsidRPr="00890F3C" w:rsidRDefault="00494600" w:rsidP="00494600">
      <w:pPr>
        <w:pStyle w:val="ListParagraph"/>
      </w:pPr>
    </w:p>
    <w:p w14:paraId="7119B91C" w14:textId="77777777" w:rsidR="00494600" w:rsidRPr="00890F3C" w:rsidRDefault="00494600" w:rsidP="00494600">
      <w:pPr>
        <w:pStyle w:val="BodyText"/>
        <w:numPr>
          <w:ilvl w:val="0"/>
          <w:numId w:val="7"/>
        </w:numPr>
        <w:ind w:right="436"/>
        <w:jc w:val="both"/>
      </w:pPr>
      <w:r w:rsidRPr="00890F3C">
        <w:t>Kept in a form which permits identification of data subjects for no longer than is necessary.</w:t>
      </w:r>
    </w:p>
    <w:p w14:paraId="02DF547F" w14:textId="77777777" w:rsidR="00494600" w:rsidRPr="00890F3C" w:rsidRDefault="00494600" w:rsidP="00494600">
      <w:pPr>
        <w:pStyle w:val="ListParagraph"/>
      </w:pPr>
    </w:p>
    <w:p w14:paraId="4CB94036" w14:textId="77777777" w:rsidR="00494600" w:rsidRPr="00890F3C" w:rsidRDefault="00494600" w:rsidP="00494600">
      <w:pPr>
        <w:pStyle w:val="BodyText"/>
        <w:numPr>
          <w:ilvl w:val="0"/>
          <w:numId w:val="7"/>
        </w:numPr>
        <w:ind w:right="436"/>
        <w:jc w:val="both"/>
      </w:pPr>
      <w:r w:rsidRPr="00890F3C">
        <w:t>Processed in a manner that ensures adequate security of the personal data, using appropriate technical or organisational</w:t>
      </w:r>
      <w:r w:rsidRPr="00890F3C">
        <w:rPr>
          <w:spacing w:val="-9"/>
        </w:rPr>
        <w:t xml:space="preserve"> </w:t>
      </w:r>
      <w:r w:rsidRPr="00890F3C">
        <w:t>measures.</w:t>
      </w:r>
    </w:p>
    <w:p w14:paraId="79E13AAC" w14:textId="77777777" w:rsidR="00494600" w:rsidRPr="00890F3C" w:rsidRDefault="00494600" w:rsidP="00494600">
      <w:pPr>
        <w:pStyle w:val="ListParagraph"/>
      </w:pPr>
    </w:p>
    <w:p w14:paraId="5094CE45" w14:textId="77777777" w:rsidR="00494600" w:rsidRPr="00890F3C" w:rsidRDefault="00494600" w:rsidP="00494600">
      <w:pPr>
        <w:pStyle w:val="BodyText"/>
        <w:numPr>
          <w:ilvl w:val="0"/>
          <w:numId w:val="7"/>
        </w:numPr>
        <w:ind w:right="436"/>
        <w:jc w:val="both"/>
      </w:pPr>
      <w:r w:rsidRPr="00890F3C">
        <w:t xml:space="preserve">Take full accountability for what we do with personal data and how we demonstrate compliance. </w:t>
      </w:r>
    </w:p>
    <w:p w14:paraId="77BA1B95" w14:textId="77777777" w:rsidR="00494600" w:rsidRPr="00890F3C" w:rsidRDefault="00494600" w:rsidP="00494600">
      <w:pPr>
        <w:pStyle w:val="BodyText"/>
        <w:jc w:val="both"/>
      </w:pPr>
    </w:p>
    <w:p w14:paraId="39C12043" w14:textId="77777777" w:rsidR="00494600" w:rsidRPr="00890F3C" w:rsidRDefault="00494600" w:rsidP="00494600">
      <w:pPr>
        <w:pStyle w:val="BodyText"/>
        <w:ind w:left="217" w:right="790" w:firstLine="0"/>
        <w:jc w:val="both"/>
      </w:pPr>
      <w:r w:rsidRPr="00890F3C">
        <w:t>Article 5(2) also sets out an overarching accountability principle ‘the controller shall be responsible for, and be able to demonstrate, compliance with the principles.’</w:t>
      </w:r>
    </w:p>
    <w:p w14:paraId="40FF6B01" w14:textId="77777777" w:rsidR="00494600" w:rsidRPr="00890F3C" w:rsidRDefault="00494600" w:rsidP="00494600">
      <w:pPr>
        <w:pStyle w:val="BodyText"/>
        <w:shd w:val="clear" w:color="auto" w:fill="FFFFFF" w:themeFill="background1"/>
        <w:ind w:left="217" w:right="790"/>
        <w:jc w:val="both"/>
      </w:pPr>
    </w:p>
    <w:p w14:paraId="21B8D5D7" w14:textId="258BD657" w:rsidR="00803151" w:rsidRPr="00890F3C" w:rsidRDefault="00494600" w:rsidP="00803151">
      <w:pPr>
        <w:pStyle w:val="BodyText"/>
        <w:shd w:val="clear" w:color="auto" w:fill="FFFFFF" w:themeFill="background1"/>
        <w:ind w:left="220" w:right="252" w:hanging="3"/>
        <w:jc w:val="both"/>
      </w:pPr>
      <w:r w:rsidRPr="008E3674">
        <w:rPr>
          <w:b/>
        </w:rPr>
        <w:t>Individual rights</w:t>
      </w:r>
      <w:r w:rsidRPr="00890F3C">
        <w:t xml:space="preserve"> are set out in a separate part of the GDPR. In brief, the GDPR provides the following rights for individuals depending on the circumstances</w:t>
      </w:r>
      <w:r w:rsidR="008E3674">
        <w:t xml:space="preserve"> (</w:t>
      </w:r>
      <w:r w:rsidR="00803151">
        <w:t>and further detail on the individual rights listed below can be found in the ICO website)</w:t>
      </w:r>
      <w:r w:rsidR="008E3674">
        <w:t>:</w:t>
      </w:r>
    </w:p>
    <w:p w14:paraId="4AF04FBA" w14:textId="77777777" w:rsidR="00494600" w:rsidRPr="00890F3C" w:rsidRDefault="00494600" w:rsidP="00494600">
      <w:pPr>
        <w:pStyle w:val="BodyText"/>
        <w:shd w:val="clear" w:color="auto" w:fill="FFFFFF" w:themeFill="background1"/>
        <w:ind w:left="220" w:right="252" w:hanging="3"/>
        <w:jc w:val="both"/>
      </w:pPr>
      <w:r w:rsidRPr="00890F3C">
        <w:t>:</w:t>
      </w:r>
    </w:p>
    <w:p w14:paraId="002F7C60" w14:textId="77777777" w:rsidR="00494600" w:rsidRPr="00890F3C" w:rsidRDefault="00494600" w:rsidP="00494600">
      <w:pPr>
        <w:pStyle w:val="BodyText"/>
        <w:shd w:val="clear" w:color="auto" w:fill="FFFFFF" w:themeFill="background1"/>
        <w:ind w:left="220" w:right="252" w:hanging="3"/>
        <w:jc w:val="both"/>
      </w:pPr>
    </w:p>
    <w:p w14:paraId="38C30E45" w14:textId="05FEA6B1" w:rsidR="00494600" w:rsidRPr="00890F3C" w:rsidRDefault="00494600" w:rsidP="00C86048">
      <w:pPr>
        <w:pStyle w:val="ListParagraph"/>
        <w:numPr>
          <w:ilvl w:val="0"/>
          <w:numId w:val="10"/>
        </w:numPr>
        <w:shd w:val="clear" w:color="auto" w:fill="FFFFFF" w:themeFill="background1"/>
        <w:tabs>
          <w:tab w:val="left" w:pos="940"/>
        </w:tabs>
      </w:pPr>
      <w:r w:rsidRPr="00890F3C">
        <w:t>The right to be</w:t>
      </w:r>
      <w:r w:rsidRPr="00803151">
        <w:rPr>
          <w:spacing w:val="-9"/>
        </w:rPr>
        <w:t xml:space="preserve"> </w:t>
      </w:r>
      <w:r w:rsidRPr="00890F3C">
        <w:t xml:space="preserve">informed – Individuals have a right to be informed on how their data is being used, what the purpose is and the retention </w:t>
      </w:r>
      <w:r w:rsidR="00E67B6B" w:rsidRPr="00890F3C">
        <w:t>periods</w:t>
      </w:r>
      <w:r w:rsidRPr="00890F3C">
        <w:t>).</w:t>
      </w:r>
    </w:p>
    <w:p w14:paraId="2E074B08" w14:textId="77777777" w:rsidR="00494600" w:rsidRPr="00890F3C" w:rsidRDefault="00494600" w:rsidP="00494600">
      <w:pPr>
        <w:shd w:val="clear" w:color="auto" w:fill="FFFFFF" w:themeFill="background1"/>
        <w:tabs>
          <w:tab w:val="left" w:pos="940"/>
        </w:tabs>
        <w:jc w:val="both"/>
        <w:rPr>
          <w:highlight w:val="yellow"/>
        </w:rPr>
      </w:pPr>
    </w:p>
    <w:p w14:paraId="68D62B39" w14:textId="00AA9696" w:rsidR="00494600" w:rsidRPr="00890F3C" w:rsidRDefault="00494600" w:rsidP="00C86048">
      <w:pPr>
        <w:pStyle w:val="ListParagraph"/>
        <w:numPr>
          <w:ilvl w:val="0"/>
          <w:numId w:val="10"/>
        </w:numPr>
        <w:tabs>
          <w:tab w:val="left" w:pos="938"/>
        </w:tabs>
        <w:jc w:val="both"/>
      </w:pPr>
      <w:r w:rsidRPr="00890F3C">
        <w:t>The right of</w:t>
      </w:r>
      <w:r w:rsidRPr="00890F3C">
        <w:rPr>
          <w:spacing w:val="-1"/>
        </w:rPr>
        <w:t xml:space="preserve"> </w:t>
      </w:r>
      <w:r w:rsidRPr="00890F3C">
        <w:t>access – Also known as a Subject Access Request, individuals have a right to their own personal data</w:t>
      </w:r>
      <w:r w:rsidR="0092471E">
        <w:t xml:space="preserve">. </w:t>
      </w:r>
    </w:p>
    <w:p w14:paraId="7B45282F" w14:textId="77777777" w:rsidR="00494600" w:rsidRPr="00890F3C" w:rsidRDefault="00494600" w:rsidP="00494600">
      <w:pPr>
        <w:tabs>
          <w:tab w:val="left" w:pos="938"/>
        </w:tabs>
        <w:jc w:val="both"/>
      </w:pPr>
    </w:p>
    <w:p w14:paraId="2723844B" w14:textId="64C12950" w:rsidR="00494600" w:rsidRPr="00141695" w:rsidRDefault="00494600" w:rsidP="00C86048">
      <w:pPr>
        <w:pStyle w:val="ListParagraph"/>
        <w:numPr>
          <w:ilvl w:val="0"/>
          <w:numId w:val="10"/>
        </w:numPr>
        <w:tabs>
          <w:tab w:val="left" w:pos="938"/>
        </w:tabs>
      </w:pPr>
      <w:r w:rsidRPr="006C39C4">
        <w:t>The right to</w:t>
      </w:r>
      <w:r w:rsidRPr="00C86048">
        <w:rPr>
          <w:spacing w:val="-10"/>
        </w:rPr>
        <w:t xml:space="preserve"> </w:t>
      </w:r>
      <w:r w:rsidRPr="006C39C4">
        <w:t xml:space="preserve">rectification – Individuals have the right to have inaccurate information </w:t>
      </w:r>
      <w:r w:rsidRPr="00141695">
        <w:t>corrected.</w:t>
      </w:r>
    </w:p>
    <w:p w14:paraId="1896F668" w14:textId="77777777" w:rsidR="00494600" w:rsidRPr="00141695" w:rsidRDefault="00494600" w:rsidP="00494600">
      <w:pPr>
        <w:pStyle w:val="ListParagraph"/>
        <w:tabs>
          <w:tab w:val="left" w:pos="938"/>
        </w:tabs>
        <w:ind w:left="937" w:firstLine="0"/>
        <w:jc w:val="both"/>
      </w:pPr>
    </w:p>
    <w:p w14:paraId="7277C05B" w14:textId="5009DFD8" w:rsidR="0092471E" w:rsidRPr="00890F3C" w:rsidRDefault="00494600" w:rsidP="00C86048">
      <w:pPr>
        <w:pStyle w:val="ListParagraph"/>
        <w:numPr>
          <w:ilvl w:val="0"/>
          <w:numId w:val="10"/>
        </w:numPr>
        <w:tabs>
          <w:tab w:val="left" w:pos="938"/>
        </w:tabs>
        <w:jc w:val="both"/>
      </w:pPr>
      <w:r w:rsidRPr="00141695">
        <w:t>The right to</w:t>
      </w:r>
      <w:r w:rsidRPr="00C86048">
        <w:rPr>
          <w:spacing w:val="-10"/>
        </w:rPr>
        <w:t xml:space="preserve"> </w:t>
      </w:r>
      <w:r w:rsidRPr="00141695">
        <w:t>erasure – Also known as the right to be forgotten, individuals have the right to have their data erased</w:t>
      </w:r>
      <w:r w:rsidR="00803151">
        <w:t>.</w:t>
      </w:r>
    </w:p>
    <w:p w14:paraId="771B5552" w14:textId="77777777" w:rsidR="0092471E" w:rsidRPr="006C39C4" w:rsidRDefault="0092471E" w:rsidP="0092471E">
      <w:pPr>
        <w:tabs>
          <w:tab w:val="left" w:pos="938"/>
        </w:tabs>
        <w:jc w:val="both"/>
      </w:pPr>
    </w:p>
    <w:p w14:paraId="6EA52B24" w14:textId="5B321044" w:rsidR="00494600" w:rsidRPr="00890F3C" w:rsidRDefault="00494600" w:rsidP="00C86048">
      <w:pPr>
        <w:pStyle w:val="ListParagraph"/>
        <w:numPr>
          <w:ilvl w:val="0"/>
          <w:numId w:val="10"/>
        </w:numPr>
        <w:tabs>
          <w:tab w:val="left" w:pos="938"/>
        </w:tabs>
      </w:pPr>
      <w:r w:rsidRPr="00890F3C">
        <w:t>The right to restrict</w:t>
      </w:r>
      <w:r w:rsidRPr="00C86048">
        <w:rPr>
          <w:spacing w:val="-8"/>
        </w:rPr>
        <w:t xml:space="preserve"> </w:t>
      </w:r>
      <w:r w:rsidRPr="00890F3C">
        <w:t>processing – Individuals have the right to request their data be restricted</w:t>
      </w:r>
      <w:r w:rsidR="00803151">
        <w:t>.</w:t>
      </w:r>
      <w:r w:rsidRPr="00890F3C">
        <w:t xml:space="preserve"> </w:t>
      </w:r>
    </w:p>
    <w:p w14:paraId="5174E3C3" w14:textId="77777777" w:rsidR="00494600" w:rsidRPr="00890F3C" w:rsidRDefault="00494600" w:rsidP="00494600">
      <w:pPr>
        <w:tabs>
          <w:tab w:val="left" w:pos="938"/>
        </w:tabs>
        <w:jc w:val="both"/>
      </w:pPr>
    </w:p>
    <w:p w14:paraId="0C528809" w14:textId="4C1BFAC6" w:rsidR="00494600" w:rsidRPr="00890F3C" w:rsidRDefault="00494600" w:rsidP="00C86048">
      <w:pPr>
        <w:pStyle w:val="ListParagraph"/>
        <w:numPr>
          <w:ilvl w:val="0"/>
          <w:numId w:val="10"/>
        </w:numPr>
        <w:tabs>
          <w:tab w:val="left" w:pos="938"/>
        </w:tabs>
      </w:pPr>
      <w:r w:rsidRPr="00890F3C">
        <w:t>The right to data</w:t>
      </w:r>
      <w:r w:rsidRPr="00C86048">
        <w:rPr>
          <w:spacing w:val="-14"/>
        </w:rPr>
        <w:t xml:space="preserve"> </w:t>
      </w:r>
      <w:r w:rsidRPr="00890F3C">
        <w:t>portability – Individuals have the right to their data being moved, copied and transferred to another IT system</w:t>
      </w:r>
      <w:r w:rsidR="00803151">
        <w:t xml:space="preserve">. </w:t>
      </w:r>
    </w:p>
    <w:p w14:paraId="55396CBA" w14:textId="77777777" w:rsidR="00494600" w:rsidRPr="00890F3C" w:rsidRDefault="00494600" w:rsidP="00494600">
      <w:pPr>
        <w:pStyle w:val="ListParagraph"/>
        <w:tabs>
          <w:tab w:val="left" w:pos="938"/>
        </w:tabs>
        <w:ind w:left="937" w:firstLine="0"/>
        <w:jc w:val="both"/>
      </w:pPr>
    </w:p>
    <w:p w14:paraId="170D02E6" w14:textId="3A903EF8" w:rsidR="00494600" w:rsidRPr="00890F3C" w:rsidRDefault="00494600" w:rsidP="00C86048">
      <w:pPr>
        <w:pStyle w:val="ListParagraph"/>
        <w:numPr>
          <w:ilvl w:val="0"/>
          <w:numId w:val="10"/>
        </w:numPr>
        <w:tabs>
          <w:tab w:val="left" w:pos="938"/>
        </w:tabs>
      </w:pPr>
      <w:r w:rsidRPr="00890F3C">
        <w:t>The right to</w:t>
      </w:r>
      <w:r w:rsidRPr="00C86048">
        <w:rPr>
          <w:spacing w:val="-9"/>
        </w:rPr>
        <w:t xml:space="preserve"> </w:t>
      </w:r>
      <w:r w:rsidRPr="00890F3C">
        <w:t>object – In certain circumstances individuals have the right to object to the processing of their data</w:t>
      </w:r>
      <w:r w:rsidR="00803151">
        <w:t>.</w:t>
      </w:r>
    </w:p>
    <w:p w14:paraId="6934F789" w14:textId="77777777" w:rsidR="00494600" w:rsidRPr="00890F3C" w:rsidRDefault="00494600" w:rsidP="00494600">
      <w:pPr>
        <w:pStyle w:val="ListParagraph"/>
        <w:tabs>
          <w:tab w:val="left" w:pos="938"/>
        </w:tabs>
        <w:ind w:left="937" w:firstLine="0"/>
        <w:jc w:val="both"/>
      </w:pPr>
    </w:p>
    <w:p w14:paraId="300935A3" w14:textId="2B5F96D7" w:rsidR="00494600" w:rsidRPr="00890F3C" w:rsidRDefault="00494600" w:rsidP="00803151">
      <w:pPr>
        <w:pStyle w:val="ListParagraph"/>
        <w:numPr>
          <w:ilvl w:val="0"/>
          <w:numId w:val="1"/>
        </w:numPr>
      </w:pPr>
      <w:r w:rsidRPr="00890F3C">
        <w:t>Rights in relation to automated decision making and</w:t>
      </w:r>
      <w:r w:rsidRPr="00890F3C">
        <w:rPr>
          <w:spacing w:val="-23"/>
        </w:rPr>
        <w:t xml:space="preserve"> </w:t>
      </w:r>
      <w:r w:rsidRPr="00890F3C">
        <w:t>profiling. – Individuals have the right to know when automated decision making and prof</w:t>
      </w:r>
      <w:r w:rsidR="00E67B6B">
        <w:t>iling</w:t>
      </w:r>
      <w:r w:rsidRPr="00890F3C">
        <w:t xml:space="preserve"> occurs, and have the ability to request for human in</w:t>
      </w:r>
      <w:r w:rsidR="00E67B6B">
        <w:t>tervention</w:t>
      </w:r>
      <w:r w:rsidRPr="00890F3C">
        <w:t xml:space="preserve"> or challenge a decision</w:t>
      </w:r>
      <w:r w:rsidR="00803151">
        <w:t>.</w:t>
      </w:r>
      <w:r w:rsidRPr="00890F3C">
        <w:t xml:space="preserve"> </w:t>
      </w:r>
    </w:p>
    <w:p w14:paraId="6C5B7326" w14:textId="77777777" w:rsidR="00494600" w:rsidRDefault="00494600" w:rsidP="00494600">
      <w:pPr>
        <w:jc w:val="both"/>
      </w:pPr>
    </w:p>
    <w:p w14:paraId="1930D678" w14:textId="77777777" w:rsidR="00494600" w:rsidRPr="00890F3C" w:rsidRDefault="00494600" w:rsidP="00494600">
      <w:pPr>
        <w:tabs>
          <w:tab w:val="left" w:pos="940"/>
          <w:tab w:val="left" w:pos="941"/>
        </w:tabs>
        <w:ind w:right="271"/>
        <w:jc w:val="both"/>
        <w:rPr>
          <w:b/>
        </w:rPr>
      </w:pPr>
    </w:p>
    <w:p w14:paraId="01A0801B" w14:textId="77777777" w:rsidR="00494600" w:rsidRPr="00890F3C" w:rsidRDefault="00494600" w:rsidP="00494600">
      <w:pPr>
        <w:pStyle w:val="ListParagraph"/>
        <w:widowControl/>
        <w:numPr>
          <w:ilvl w:val="0"/>
          <w:numId w:val="6"/>
        </w:numPr>
        <w:shd w:val="clear" w:color="auto" w:fill="FFFFFF"/>
        <w:autoSpaceDE/>
        <w:autoSpaceDN/>
        <w:ind w:left="426"/>
        <w:contextualSpacing/>
        <w:jc w:val="both"/>
        <w:textAlignment w:val="baseline"/>
        <w:rPr>
          <w:rFonts w:eastAsia="Times New Roman"/>
          <w:b/>
        </w:rPr>
      </w:pPr>
      <w:r w:rsidRPr="00890F3C">
        <w:rPr>
          <w:rFonts w:eastAsia="Times New Roman"/>
          <w:b/>
        </w:rPr>
        <w:t>Policy Principles</w:t>
      </w:r>
    </w:p>
    <w:p w14:paraId="055F3C5E" w14:textId="77777777" w:rsidR="00494600" w:rsidRPr="00890F3C" w:rsidRDefault="00494600" w:rsidP="00494600">
      <w:pPr>
        <w:widowControl/>
        <w:shd w:val="clear" w:color="auto" w:fill="FFFFFF"/>
        <w:autoSpaceDE/>
        <w:autoSpaceDN/>
        <w:contextualSpacing/>
        <w:jc w:val="both"/>
        <w:textAlignment w:val="baseline"/>
        <w:rPr>
          <w:rFonts w:eastAsia="Times New Roman"/>
          <w:b/>
        </w:rPr>
      </w:pPr>
    </w:p>
    <w:p w14:paraId="319B8A3D" w14:textId="77777777" w:rsidR="00494600" w:rsidRPr="00890F3C" w:rsidRDefault="00494600" w:rsidP="00494600">
      <w:pPr>
        <w:widowControl/>
        <w:shd w:val="clear" w:color="auto" w:fill="FFFFFF"/>
        <w:autoSpaceDE/>
        <w:autoSpaceDN/>
        <w:ind w:left="709"/>
        <w:contextualSpacing/>
        <w:jc w:val="both"/>
        <w:textAlignment w:val="baseline"/>
      </w:pPr>
      <w:bookmarkStart w:id="1" w:name="4._Policy_Principles"/>
      <w:bookmarkStart w:id="2" w:name="In_order_to_meet_the_requirements_of_the"/>
      <w:bookmarkEnd w:id="1"/>
      <w:bookmarkEnd w:id="2"/>
      <w:r w:rsidRPr="00890F3C">
        <w:t>In order to meet the requirements of the data protection principles and individual rights set out in the GDPR, Middlesex University adheres to the following values when processing personal data:</w:t>
      </w:r>
    </w:p>
    <w:p w14:paraId="37130BF4" w14:textId="77777777" w:rsidR="00494600" w:rsidRPr="00890F3C" w:rsidRDefault="00494600" w:rsidP="00494600">
      <w:pPr>
        <w:widowControl/>
        <w:shd w:val="clear" w:color="auto" w:fill="FFFFFF"/>
        <w:autoSpaceDE/>
        <w:autoSpaceDN/>
        <w:ind w:left="709"/>
        <w:contextualSpacing/>
        <w:jc w:val="both"/>
        <w:textAlignment w:val="baseline"/>
        <w:rPr>
          <w:rFonts w:eastAsia="Times New Roman"/>
          <w:b/>
        </w:rPr>
      </w:pPr>
    </w:p>
    <w:p w14:paraId="70BE5642" w14:textId="30BDEB1F" w:rsidR="00494600" w:rsidRPr="00890F3C" w:rsidRDefault="007F73BC" w:rsidP="00494600">
      <w:pPr>
        <w:widowControl/>
        <w:shd w:val="clear" w:color="auto" w:fill="FFFFFF"/>
        <w:autoSpaceDE/>
        <w:autoSpaceDN/>
        <w:ind w:left="709"/>
        <w:contextualSpacing/>
        <w:jc w:val="both"/>
        <w:textAlignment w:val="baseline"/>
        <w:rPr>
          <w:rFonts w:eastAsia="Times New Roman"/>
          <w:b/>
        </w:rPr>
      </w:pPr>
      <w:r>
        <w:rPr>
          <w:rFonts w:eastAsia="Times New Roman"/>
          <w:b/>
        </w:rPr>
        <w:t>3</w:t>
      </w:r>
      <w:r w:rsidR="00494600" w:rsidRPr="00890F3C">
        <w:rPr>
          <w:rFonts w:eastAsia="Times New Roman"/>
          <w:b/>
        </w:rPr>
        <w:t>.1</w:t>
      </w:r>
      <w:r w:rsidR="00494600" w:rsidRPr="00890F3C">
        <w:rPr>
          <w:rFonts w:eastAsia="Times New Roman"/>
          <w:b/>
        </w:rPr>
        <w:tab/>
        <w:t>Fair Collection and Processing</w:t>
      </w:r>
    </w:p>
    <w:p w14:paraId="51001690" w14:textId="77777777" w:rsidR="00494600" w:rsidRPr="00890F3C" w:rsidRDefault="00494600" w:rsidP="00494600">
      <w:pPr>
        <w:widowControl/>
        <w:shd w:val="clear" w:color="auto" w:fill="FFFFFF"/>
        <w:autoSpaceDE/>
        <w:autoSpaceDN/>
        <w:ind w:left="709"/>
        <w:contextualSpacing/>
        <w:jc w:val="both"/>
        <w:textAlignment w:val="baseline"/>
        <w:rPr>
          <w:rFonts w:eastAsia="Times New Roman"/>
          <w:b/>
        </w:rPr>
      </w:pPr>
    </w:p>
    <w:p w14:paraId="0B6E846F"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The specific conditions contained in Article 6 and 9 of the GDPR regarding the fair collection and use of personal data will be fully complied</w:t>
      </w:r>
      <w:r w:rsidRPr="00890F3C">
        <w:rPr>
          <w:spacing w:val="-22"/>
        </w:rPr>
        <w:t xml:space="preserve"> </w:t>
      </w:r>
      <w:r w:rsidRPr="00890F3C">
        <w:t>with;</w:t>
      </w:r>
    </w:p>
    <w:p w14:paraId="29DB3BF1" w14:textId="77777777" w:rsidR="00494600" w:rsidRPr="00890F3C" w:rsidRDefault="00494600" w:rsidP="00494600">
      <w:pPr>
        <w:pStyle w:val="ListParagraph"/>
        <w:widowControl/>
        <w:shd w:val="clear" w:color="auto" w:fill="FFFFFF"/>
        <w:autoSpaceDE/>
        <w:autoSpaceDN/>
        <w:ind w:left="1843" w:firstLine="0"/>
        <w:contextualSpacing/>
        <w:jc w:val="both"/>
        <w:textAlignment w:val="baseline"/>
        <w:rPr>
          <w:rFonts w:eastAsia="Times New Roman"/>
          <w:b/>
        </w:rPr>
      </w:pPr>
    </w:p>
    <w:p w14:paraId="5A974712"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Individuals will be made aware that their information has been collected, and the intended use of the data specified either on collection or at the earliest opportunity following collection through relevant privacy</w:t>
      </w:r>
      <w:r w:rsidRPr="00890F3C">
        <w:rPr>
          <w:spacing w:val="-5"/>
        </w:rPr>
        <w:t xml:space="preserve"> </w:t>
      </w:r>
      <w:r w:rsidRPr="00890F3C">
        <w:t>notices;</w:t>
      </w:r>
    </w:p>
    <w:p w14:paraId="788E520E" w14:textId="77777777" w:rsidR="00494600" w:rsidRPr="00890F3C" w:rsidRDefault="00494600" w:rsidP="00494600">
      <w:pPr>
        <w:pStyle w:val="ListParagraph"/>
        <w:ind w:left="1843"/>
      </w:pPr>
    </w:p>
    <w:p w14:paraId="06EEDF19"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lastRenderedPageBreak/>
        <w:t>Personal data will be collected and processed only to the extent that it is needed to fulfil business needs or legal</w:t>
      </w:r>
      <w:r w:rsidRPr="00890F3C">
        <w:rPr>
          <w:spacing w:val="-13"/>
        </w:rPr>
        <w:t xml:space="preserve"> </w:t>
      </w:r>
      <w:r w:rsidRPr="00890F3C">
        <w:t>requirements;</w:t>
      </w:r>
    </w:p>
    <w:p w14:paraId="14F166E0" w14:textId="77777777" w:rsidR="00494600" w:rsidRPr="00890F3C" w:rsidRDefault="00494600" w:rsidP="00494600">
      <w:pPr>
        <w:pStyle w:val="ListParagraph"/>
        <w:ind w:left="1843"/>
      </w:pPr>
    </w:p>
    <w:p w14:paraId="0C0459F9"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Personal data held will be kept up to date and accurate, where</w:t>
      </w:r>
      <w:r w:rsidRPr="00890F3C">
        <w:rPr>
          <w:spacing w:val="-28"/>
        </w:rPr>
        <w:t xml:space="preserve"> </w:t>
      </w:r>
      <w:r w:rsidRPr="00890F3C">
        <w:t>necessary;</w:t>
      </w:r>
    </w:p>
    <w:p w14:paraId="1DFC5A95" w14:textId="77777777" w:rsidR="00494600" w:rsidRPr="00890F3C" w:rsidRDefault="00494600" w:rsidP="00494600">
      <w:pPr>
        <w:pStyle w:val="ListParagraph"/>
        <w:ind w:left="1843"/>
      </w:pPr>
    </w:p>
    <w:p w14:paraId="752BD7A6"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Retention of personal data will be appraised and risk assessed to determine and meet business needs and legal requirements, with the appropriate retention schedules applied to that</w:t>
      </w:r>
      <w:r w:rsidRPr="00890F3C">
        <w:rPr>
          <w:spacing w:val="-4"/>
        </w:rPr>
        <w:t xml:space="preserve"> </w:t>
      </w:r>
      <w:r w:rsidRPr="00890F3C">
        <w:t>data;</w:t>
      </w:r>
    </w:p>
    <w:p w14:paraId="2DFCED1F" w14:textId="77777777" w:rsidR="00494600" w:rsidRPr="00890F3C" w:rsidRDefault="00494600" w:rsidP="00494600">
      <w:pPr>
        <w:pStyle w:val="ListParagraph"/>
      </w:pPr>
    </w:p>
    <w:p w14:paraId="5B2194CD"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Personal data will be processed in accordance with the rights of the individuals about whom the personal data are held;</w:t>
      </w:r>
    </w:p>
    <w:p w14:paraId="325674CF" w14:textId="77777777" w:rsidR="00494600" w:rsidRPr="00890F3C" w:rsidRDefault="00494600" w:rsidP="00494600">
      <w:pPr>
        <w:pStyle w:val="ListParagraph"/>
        <w:ind w:left="1843"/>
      </w:pPr>
    </w:p>
    <w:p w14:paraId="39CBF819"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It is important that we determine a lawful basis for processing any personal data. because the lawful basis for processing has an effect on individuals' rights;</w:t>
      </w:r>
    </w:p>
    <w:p w14:paraId="60F9BB2F" w14:textId="77777777" w:rsidR="00494600" w:rsidRPr="00890F3C" w:rsidRDefault="00494600" w:rsidP="00494600">
      <w:pPr>
        <w:pStyle w:val="ListParagraph"/>
        <w:ind w:left="1843"/>
      </w:pPr>
    </w:p>
    <w:p w14:paraId="678EEDB0"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b/>
        </w:rPr>
      </w:pPr>
      <w:r w:rsidRPr="00890F3C">
        <w:t>A ‘cease processing request’ (erasure request from an individual will be acknowledged within 3 working days, with the final response within 21 days. The final response will state whether the University intends to comply with the request and to what extent, or will state the reasons why it is felt the requestor’s notice is unjustified;</w:t>
      </w:r>
    </w:p>
    <w:p w14:paraId="71415D30" w14:textId="77777777" w:rsidR="00494600" w:rsidRPr="00890F3C" w:rsidRDefault="00494600" w:rsidP="00494600">
      <w:pPr>
        <w:pStyle w:val="ListParagraph"/>
        <w:ind w:left="1843"/>
        <w:rPr>
          <w:rFonts w:eastAsia="Times New Roman"/>
          <w:b/>
        </w:rPr>
      </w:pPr>
    </w:p>
    <w:p w14:paraId="73A0FBFC" w14:textId="77777777" w:rsidR="0092471E" w:rsidRPr="0092471E" w:rsidRDefault="00494600" w:rsidP="0092471E">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Staff will advise the Data Protection Officer in the event of any intended new purposes for processing personal data. The Data Protection Officer will then arrange for a Data Protection Impact Assessment to be conducted, set out in the Data Protection Impact Assessment Policy.</w:t>
      </w:r>
      <w:r w:rsidR="0092471E">
        <w:rPr>
          <w:rFonts w:eastAsia="Times New Roman"/>
        </w:rPr>
        <w:t xml:space="preserve">  THE DPIA Policy can </w:t>
      </w:r>
      <w:r w:rsidR="0092471E">
        <w:t xml:space="preserve">be found on the SLA intranet page. </w:t>
      </w:r>
    </w:p>
    <w:p w14:paraId="01EFF500" w14:textId="77777777" w:rsidR="0092471E" w:rsidRDefault="00494600" w:rsidP="00494600">
      <w:pPr>
        <w:widowControl/>
        <w:shd w:val="clear" w:color="auto" w:fill="FFFFFF"/>
        <w:autoSpaceDE/>
        <w:autoSpaceDN/>
        <w:contextualSpacing/>
        <w:jc w:val="both"/>
        <w:textAlignment w:val="baseline"/>
        <w:rPr>
          <w:rFonts w:eastAsia="Times New Roman"/>
        </w:rPr>
      </w:pPr>
      <w:r w:rsidRPr="0092471E">
        <w:rPr>
          <w:rFonts w:eastAsia="Times New Roman"/>
        </w:rPr>
        <w:t xml:space="preserve"> </w:t>
      </w:r>
    </w:p>
    <w:p w14:paraId="6D96BD9D"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r w:rsidRPr="00890F3C">
        <w:rPr>
          <w:rFonts w:eastAsia="Times New Roman"/>
        </w:rPr>
        <w:tab/>
      </w:r>
    </w:p>
    <w:p w14:paraId="4AF52E37" w14:textId="30961A52" w:rsidR="00494600" w:rsidRPr="00890F3C" w:rsidRDefault="007F73BC" w:rsidP="007F73BC">
      <w:pPr>
        <w:pStyle w:val="ListParagraph"/>
        <w:widowControl/>
        <w:shd w:val="clear" w:color="auto" w:fill="FFFFFF"/>
        <w:autoSpaceDE/>
        <w:autoSpaceDN/>
        <w:ind w:left="1080" w:firstLine="0"/>
        <w:contextualSpacing/>
        <w:jc w:val="both"/>
        <w:textAlignment w:val="baseline"/>
        <w:rPr>
          <w:rFonts w:eastAsia="Times New Roman"/>
        </w:rPr>
      </w:pPr>
      <w:r>
        <w:rPr>
          <w:rFonts w:eastAsia="Times New Roman"/>
          <w:b/>
        </w:rPr>
        <w:t xml:space="preserve">3.2 </w:t>
      </w:r>
      <w:r w:rsidR="00494600" w:rsidRPr="00890F3C">
        <w:rPr>
          <w:rFonts w:eastAsia="Times New Roman"/>
          <w:b/>
        </w:rPr>
        <w:t>Security</w:t>
      </w:r>
    </w:p>
    <w:p w14:paraId="3AFAE067"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457FA2E3"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t>Appropriate technical, organisational and administrative security measures to safeguard personal data will be in</w:t>
      </w:r>
      <w:r w:rsidRPr="00890F3C">
        <w:rPr>
          <w:spacing w:val="-21"/>
        </w:rPr>
        <w:t xml:space="preserve"> </w:t>
      </w:r>
      <w:r w:rsidRPr="00890F3C">
        <w:t>place;</w:t>
      </w:r>
    </w:p>
    <w:p w14:paraId="4C98C5A4" w14:textId="77777777" w:rsidR="00494600" w:rsidRPr="00890F3C" w:rsidRDefault="00494600" w:rsidP="00494600">
      <w:pPr>
        <w:pStyle w:val="ListParagraph"/>
        <w:widowControl/>
        <w:shd w:val="clear" w:color="auto" w:fill="FFFFFF"/>
        <w:autoSpaceDE/>
        <w:autoSpaceDN/>
        <w:ind w:left="1843" w:firstLine="0"/>
        <w:contextualSpacing/>
        <w:jc w:val="both"/>
        <w:textAlignment w:val="baseline"/>
        <w:rPr>
          <w:rFonts w:eastAsia="Times New Roman"/>
        </w:rPr>
      </w:pPr>
    </w:p>
    <w:p w14:paraId="1BE302FE"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t>Staff will report any actual, near miss, or suspected data breaches to the Data Protection Officer for investigation. Lessons learnt during the investigation of breaches will be relayed to those processing information</w:t>
      </w:r>
      <w:r w:rsidR="00141695">
        <w:t xml:space="preserve"> </w:t>
      </w:r>
      <w:r w:rsidRPr="00890F3C">
        <w:t>to enable necessary improvements to be made. The Data Protection Officer will report any ‘serious’ breaches to the Information Commissioner’s Office as necessary, within 72 hours of the breach being reported</w:t>
      </w:r>
      <w:r w:rsidRPr="00890F3C">
        <w:rPr>
          <w:spacing w:val="-1"/>
        </w:rPr>
        <w:t xml:space="preserve"> </w:t>
      </w:r>
      <w:r w:rsidRPr="00890F3C">
        <w:t>internally;</w:t>
      </w:r>
    </w:p>
    <w:p w14:paraId="6EF678A7" w14:textId="77777777" w:rsidR="00494600" w:rsidRPr="00890F3C" w:rsidRDefault="00494600" w:rsidP="00494600">
      <w:pPr>
        <w:pStyle w:val="ListParagraph"/>
      </w:pPr>
    </w:p>
    <w:p w14:paraId="007F8938"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t>Any unauthorised use of corporate email by staff, including sending of sensitive or personal data to unauthorised persons, or use that brings the University into disrepute will be regarded as a breach of this</w:t>
      </w:r>
      <w:r w:rsidRPr="00890F3C">
        <w:rPr>
          <w:spacing w:val="-14"/>
        </w:rPr>
        <w:t xml:space="preserve"> </w:t>
      </w:r>
      <w:r w:rsidRPr="00890F3C">
        <w:t>policy;</w:t>
      </w:r>
    </w:p>
    <w:p w14:paraId="37BFE836" w14:textId="77777777" w:rsidR="00494600" w:rsidRPr="00890F3C" w:rsidRDefault="00494600" w:rsidP="00494600">
      <w:pPr>
        <w:pStyle w:val="ListParagraph"/>
      </w:pPr>
    </w:p>
    <w:p w14:paraId="583C224E"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t xml:space="preserve">Relevant Data Protection Awareness Training will be provided to staff to keep them better informed of relevant legislation and guidance regarding the processing of personal information. Data protection training will also promote awareness of the University’s data protection and information security policies, procedures and processes. It is mandatory for new staff to complete this training during induction. All staff have the opportunity to take the training as refresher training as regularly as they wish or as advised by the Data Protection Officer. The Data Protection Officer may also advise existing staff who have caused a data breach, or who have </w:t>
      </w:r>
      <w:r w:rsidRPr="00890F3C">
        <w:lastRenderedPageBreak/>
        <w:t>otherwise failed to comply with data protection law, or any aspects of the University’s data protection policies, to retake the data protection awareness training. The Data Protection Officer may advise staff on any training that may be useful to address any specific training needs of teams or of individual staff.</w:t>
      </w:r>
    </w:p>
    <w:p w14:paraId="15FCE29B"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218E06BD" w14:textId="28F351F2" w:rsidR="00494600" w:rsidRPr="00890F3C" w:rsidRDefault="007F73BC" w:rsidP="007F73BC">
      <w:pPr>
        <w:pStyle w:val="ListParagraph"/>
        <w:widowControl/>
        <w:shd w:val="clear" w:color="auto" w:fill="FFFFFF"/>
        <w:autoSpaceDE/>
        <w:autoSpaceDN/>
        <w:ind w:left="1080" w:firstLine="0"/>
        <w:contextualSpacing/>
        <w:jc w:val="both"/>
        <w:textAlignment w:val="baseline"/>
        <w:rPr>
          <w:rFonts w:eastAsia="Times New Roman"/>
        </w:rPr>
      </w:pPr>
      <w:r>
        <w:rPr>
          <w:rFonts w:eastAsia="Times New Roman"/>
          <w:b/>
        </w:rPr>
        <w:t xml:space="preserve">3.3 </w:t>
      </w:r>
      <w:r w:rsidR="00494600" w:rsidRPr="00890F3C">
        <w:rPr>
          <w:rFonts w:eastAsia="Times New Roman"/>
          <w:b/>
        </w:rPr>
        <w:t>Sharing and disclosure of personal information</w:t>
      </w:r>
    </w:p>
    <w:p w14:paraId="60A53D80"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3E354439"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t>The University shall routinely make certain personal information publicly</w:t>
      </w:r>
      <w:r w:rsidRPr="00890F3C">
        <w:rPr>
          <w:spacing w:val="-30"/>
        </w:rPr>
        <w:t xml:space="preserve"> </w:t>
      </w:r>
      <w:r w:rsidRPr="00890F3C">
        <w:t xml:space="preserve">available.  </w:t>
      </w:r>
      <w:r w:rsidRPr="00890F3C">
        <w:rPr>
          <w:rFonts w:eastAsia="Times New Roman"/>
        </w:rPr>
        <w:t>Examples include publication of degree results in graduation booklets, contact details on the website etc. The University will undertake to cease such activity, where possible, for any data subject on the grounds of such disclosure causing damage and distress on application to, and agreement by, the Data Protection Officer;</w:t>
      </w:r>
    </w:p>
    <w:p w14:paraId="1C8707B1" w14:textId="77777777" w:rsidR="00494600" w:rsidRPr="00890F3C" w:rsidRDefault="00494600" w:rsidP="00494600">
      <w:pPr>
        <w:pStyle w:val="ListParagraph"/>
        <w:widowControl/>
        <w:shd w:val="clear" w:color="auto" w:fill="FFFFFF"/>
        <w:autoSpaceDE/>
        <w:autoSpaceDN/>
        <w:ind w:left="1843" w:firstLine="0"/>
        <w:contextualSpacing/>
        <w:jc w:val="both"/>
        <w:textAlignment w:val="baseline"/>
        <w:rPr>
          <w:rFonts w:eastAsia="Times New Roman"/>
        </w:rPr>
      </w:pPr>
    </w:p>
    <w:p w14:paraId="033EC1A2"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Regular information sharing with third parties, where there is a valid business reason for sharing information, shall be carried out under a written agreement setting out the scope and limits of sharing. Data Processing Agreements will be applied to all contracts and management agreements where the University is the data controller contracting out services and processing of personal data to third parties (data processors). These agreements will clearly outline the roles and responsibilities of both the data controller and the data processor;</w:t>
      </w:r>
    </w:p>
    <w:p w14:paraId="19971D66" w14:textId="77777777" w:rsidR="00494600" w:rsidRPr="00890F3C" w:rsidRDefault="00494600" w:rsidP="00494600">
      <w:pPr>
        <w:pStyle w:val="ListParagraph"/>
        <w:rPr>
          <w:rFonts w:eastAsia="Times New Roman"/>
        </w:rPr>
      </w:pPr>
    </w:p>
    <w:p w14:paraId="554F98B7"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All data processors shall agree to conform to this policy and the GDPR and as far as possible, indemnify the University against any prosecution, claim, proceeding, action or payments of compensation or damages without limitation and provide any personal information specified on request to the Data Protection Officer;</w:t>
      </w:r>
    </w:p>
    <w:p w14:paraId="69A279F9" w14:textId="77777777" w:rsidR="00494600" w:rsidRPr="00890F3C" w:rsidRDefault="00494600" w:rsidP="00494600">
      <w:pPr>
        <w:pStyle w:val="ListParagraph"/>
        <w:rPr>
          <w:rFonts w:eastAsia="Times New Roman"/>
        </w:rPr>
      </w:pPr>
    </w:p>
    <w:p w14:paraId="192E28F7"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As part of all relevant privacy notices the University will inform individuals of the identity of third parties to whom we may share, disclose or be required to pass on information to, whilst accounting for any exemptions which may apply under the GDPR and other relevant legislation;</w:t>
      </w:r>
    </w:p>
    <w:p w14:paraId="1AE6479A" w14:textId="77777777" w:rsidR="00494600" w:rsidRPr="00890F3C" w:rsidRDefault="00494600" w:rsidP="00494600">
      <w:pPr>
        <w:pStyle w:val="ListParagraph"/>
        <w:rPr>
          <w:rFonts w:eastAsia="Times New Roman"/>
        </w:rPr>
      </w:pPr>
    </w:p>
    <w:p w14:paraId="0F559772"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Personal data will not be transferred outside the European Economic Area unless that country or territory can ensure a suitable level of protection for the rights and freedoms of the data subjects in relation to the processing of their personal data.</w:t>
      </w:r>
    </w:p>
    <w:p w14:paraId="619FA23D"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441FF658" w14:textId="39695CAE" w:rsidR="00494600" w:rsidRPr="00890F3C" w:rsidRDefault="00995417" w:rsidP="007F73BC">
      <w:pPr>
        <w:pStyle w:val="ListParagraph"/>
        <w:widowControl/>
        <w:shd w:val="clear" w:color="auto" w:fill="FFFFFF"/>
        <w:autoSpaceDE/>
        <w:autoSpaceDN/>
        <w:ind w:left="1080" w:firstLine="0"/>
        <w:contextualSpacing/>
        <w:jc w:val="both"/>
        <w:textAlignment w:val="baseline"/>
        <w:rPr>
          <w:rFonts w:eastAsia="Times New Roman"/>
        </w:rPr>
      </w:pPr>
      <w:r>
        <w:rPr>
          <w:rFonts w:eastAsia="Times New Roman"/>
          <w:b/>
        </w:rPr>
        <w:t xml:space="preserve">3.4 </w:t>
      </w:r>
      <w:r w:rsidR="00494600" w:rsidRPr="00890F3C">
        <w:rPr>
          <w:rFonts w:eastAsia="Times New Roman"/>
          <w:b/>
        </w:rPr>
        <w:t>Access</w:t>
      </w:r>
    </w:p>
    <w:p w14:paraId="193A754C"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72B2AA97"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Members of staff will have access to personal data only where it is required as part of their functional remit;</w:t>
      </w:r>
    </w:p>
    <w:p w14:paraId="4B4755B8" w14:textId="77777777" w:rsidR="00494600" w:rsidRPr="00890F3C" w:rsidRDefault="00494600" w:rsidP="00494600">
      <w:pPr>
        <w:pStyle w:val="ListParagraph"/>
        <w:widowControl/>
        <w:shd w:val="clear" w:color="auto" w:fill="FFFFFF"/>
        <w:autoSpaceDE/>
        <w:autoSpaceDN/>
        <w:ind w:left="1843" w:firstLine="0"/>
        <w:contextualSpacing/>
        <w:jc w:val="both"/>
        <w:textAlignment w:val="baseline"/>
        <w:rPr>
          <w:rFonts w:eastAsia="Times New Roman"/>
        </w:rPr>
      </w:pPr>
    </w:p>
    <w:p w14:paraId="0AB05F38"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Staff are made aware that in the event of a Subject Access Request being received in Middlesex University, their emails may be searched and relevant content disclosed, whether marked as personal or not;</w:t>
      </w:r>
    </w:p>
    <w:p w14:paraId="2B41A5FC" w14:textId="77777777" w:rsidR="00494600" w:rsidRPr="00890F3C" w:rsidRDefault="00494600" w:rsidP="00494600">
      <w:pPr>
        <w:pStyle w:val="ListParagraph"/>
        <w:rPr>
          <w:rFonts w:eastAsia="Times New Roman"/>
        </w:rPr>
      </w:pPr>
    </w:p>
    <w:p w14:paraId="108988B2"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A relevant contact address will be made available on the internet for data subjects to use should they wish to submit a Subject Access Request, make a comment or complaint about how Middlesex University is processing their data, or about our handling of their request for information;</w:t>
      </w:r>
    </w:p>
    <w:p w14:paraId="074DC778" w14:textId="77777777" w:rsidR="00494600" w:rsidRPr="00890F3C" w:rsidRDefault="00494600" w:rsidP="00494600">
      <w:pPr>
        <w:pStyle w:val="ListParagraph"/>
        <w:rPr>
          <w:rFonts w:eastAsia="Times New Roman"/>
        </w:rPr>
      </w:pPr>
    </w:p>
    <w:p w14:paraId="4DE9FFEA" w14:textId="00F1D543"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lastRenderedPageBreak/>
        <w:t xml:space="preserve">A Subject Access Request will be acknowledged </w:t>
      </w:r>
      <w:r w:rsidR="00995417">
        <w:rPr>
          <w:rFonts w:eastAsia="Times New Roman"/>
        </w:rPr>
        <w:t xml:space="preserve">and </w:t>
      </w:r>
      <w:r w:rsidRPr="00890F3C">
        <w:rPr>
          <w:rFonts w:eastAsia="Times New Roman"/>
        </w:rPr>
        <w:t xml:space="preserve">the final response and disclosure of information (subject to exemptions) </w:t>
      </w:r>
      <w:r w:rsidR="00995417">
        <w:rPr>
          <w:rFonts w:eastAsia="Times New Roman"/>
        </w:rPr>
        <w:t xml:space="preserve">will be given within the timescales required under the </w:t>
      </w:r>
      <w:r w:rsidRPr="00890F3C">
        <w:rPr>
          <w:rFonts w:eastAsia="Times New Roman"/>
        </w:rPr>
        <w:t>within 1 calendar month;</w:t>
      </w:r>
    </w:p>
    <w:p w14:paraId="250B8C20" w14:textId="77777777" w:rsidR="00494600" w:rsidRPr="00890F3C" w:rsidRDefault="00494600" w:rsidP="00494600">
      <w:pPr>
        <w:pStyle w:val="ListParagraph"/>
        <w:rPr>
          <w:rFonts w:eastAsia="Times New Roman"/>
        </w:rPr>
      </w:pPr>
    </w:p>
    <w:p w14:paraId="470B727A"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A data subject’s personal information will not be disclosed to them until their identity has been verified;</w:t>
      </w:r>
    </w:p>
    <w:p w14:paraId="1D339DC5" w14:textId="77777777" w:rsidR="00494600" w:rsidRPr="00890F3C" w:rsidRDefault="00494600" w:rsidP="00494600">
      <w:pPr>
        <w:pStyle w:val="ListParagraph"/>
        <w:rPr>
          <w:rFonts w:eastAsia="Times New Roman"/>
        </w:rPr>
      </w:pPr>
    </w:p>
    <w:p w14:paraId="6038542C"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Third party personal data will not be released by Middlesex University when responding to a Subject Access Request or Freedom of Information Request (unless consent is specifically obtained, obliged to be released by law or necessary in the substantial public interest);</w:t>
      </w:r>
    </w:p>
    <w:p w14:paraId="6C02125E" w14:textId="77777777" w:rsidR="00494600" w:rsidRPr="00890F3C" w:rsidRDefault="00494600" w:rsidP="00494600">
      <w:pPr>
        <w:pStyle w:val="ListParagraph"/>
        <w:rPr>
          <w:rFonts w:eastAsia="Times New Roman"/>
        </w:rPr>
      </w:pPr>
    </w:p>
    <w:p w14:paraId="2687A00E"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rPr>
          <w:rFonts w:eastAsia="Times New Roman"/>
        </w:rPr>
        <w:t xml:space="preserve">All data subjects have a right of access to their own personal data. Advice will be provided to data subjects on how to request or access their personal data held by the University. </w:t>
      </w:r>
    </w:p>
    <w:p w14:paraId="3C13EEF6"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63C31DD8" w14:textId="71456EDB" w:rsidR="00494600" w:rsidRPr="00995417" w:rsidRDefault="00995417" w:rsidP="00995417">
      <w:pPr>
        <w:widowControl/>
        <w:shd w:val="clear" w:color="auto" w:fill="FFFFFF"/>
        <w:autoSpaceDE/>
        <w:autoSpaceDN/>
        <w:contextualSpacing/>
        <w:jc w:val="both"/>
        <w:textAlignment w:val="baseline"/>
        <w:rPr>
          <w:rFonts w:eastAsia="Times New Roman"/>
        </w:rPr>
      </w:pPr>
      <w:r>
        <w:rPr>
          <w:rFonts w:eastAsia="Times New Roman"/>
          <w:b/>
        </w:rPr>
        <w:t xml:space="preserve">4. </w:t>
      </w:r>
      <w:r w:rsidR="00494600" w:rsidRPr="00995417">
        <w:rPr>
          <w:rFonts w:eastAsia="Times New Roman"/>
          <w:b/>
        </w:rPr>
        <w:t>Links with the Freedom of Information Act 2000</w:t>
      </w:r>
    </w:p>
    <w:p w14:paraId="4F5CD670"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379B60E7" w14:textId="77777777" w:rsidR="00494600" w:rsidRPr="00890F3C" w:rsidRDefault="00494600" w:rsidP="00494600">
      <w:pPr>
        <w:pStyle w:val="ListParagraph"/>
        <w:widowControl/>
        <w:numPr>
          <w:ilvl w:val="0"/>
          <w:numId w:val="8"/>
        </w:numPr>
        <w:shd w:val="clear" w:color="auto" w:fill="FFFFFF"/>
        <w:autoSpaceDE/>
        <w:autoSpaceDN/>
        <w:ind w:left="1843"/>
        <w:contextualSpacing/>
        <w:jc w:val="both"/>
        <w:textAlignment w:val="baseline"/>
        <w:rPr>
          <w:rFonts w:eastAsia="Times New Roman"/>
        </w:rPr>
      </w:pPr>
      <w:r w:rsidRPr="00890F3C">
        <w:t>The Freedom of Information Act 2000 enables greater public access to information processed by public bodies such as Middlesex University. However, personal data continues to be protected by the GDPR, and is therefore exempt from disclosure under the Freedom of Information Act (Section</w:t>
      </w:r>
      <w:r w:rsidRPr="00890F3C">
        <w:rPr>
          <w:spacing w:val="-4"/>
        </w:rPr>
        <w:t xml:space="preserve"> </w:t>
      </w:r>
      <w:r w:rsidRPr="00890F3C">
        <w:t>40).</w:t>
      </w:r>
    </w:p>
    <w:p w14:paraId="5EE14C11" w14:textId="77777777" w:rsidR="00494600" w:rsidRPr="00890F3C" w:rsidRDefault="00494600" w:rsidP="00494600">
      <w:pPr>
        <w:widowControl/>
        <w:shd w:val="clear" w:color="auto" w:fill="FFFFFF"/>
        <w:autoSpaceDE/>
        <w:autoSpaceDN/>
        <w:contextualSpacing/>
        <w:jc w:val="both"/>
        <w:textAlignment w:val="baseline"/>
        <w:rPr>
          <w:rFonts w:eastAsia="Times New Roman"/>
        </w:rPr>
      </w:pPr>
    </w:p>
    <w:p w14:paraId="04301354" w14:textId="0C128FA4" w:rsidR="00494600" w:rsidRDefault="00995417" w:rsidP="00995417">
      <w:pPr>
        <w:pStyle w:val="ListParagraph"/>
        <w:widowControl/>
        <w:shd w:val="clear" w:color="auto" w:fill="FFFFFF"/>
        <w:autoSpaceDE/>
        <w:autoSpaceDN/>
        <w:ind w:left="0" w:firstLine="0"/>
        <w:contextualSpacing/>
        <w:jc w:val="both"/>
        <w:textAlignment w:val="baseline"/>
        <w:rPr>
          <w:rFonts w:eastAsia="Times New Roman"/>
          <w:b/>
        </w:rPr>
      </w:pPr>
      <w:r>
        <w:rPr>
          <w:rFonts w:eastAsia="Times New Roman"/>
          <w:b/>
        </w:rPr>
        <w:t xml:space="preserve">5. </w:t>
      </w:r>
      <w:r w:rsidR="00494600" w:rsidRPr="00890F3C">
        <w:rPr>
          <w:rFonts w:eastAsia="Times New Roman"/>
          <w:b/>
        </w:rPr>
        <w:t>Data Protection responsibilities</w:t>
      </w:r>
    </w:p>
    <w:p w14:paraId="43622740" w14:textId="77777777" w:rsidR="00494600" w:rsidRDefault="00494600" w:rsidP="00494600">
      <w:pPr>
        <w:widowControl/>
        <w:shd w:val="clear" w:color="auto" w:fill="FFFFFF"/>
        <w:autoSpaceDE/>
        <w:autoSpaceDN/>
        <w:contextualSpacing/>
        <w:jc w:val="both"/>
        <w:textAlignment w:val="baseline"/>
        <w:rPr>
          <w:rFonts w:eastAsia="Times New Roman"/>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7"/>
      </w:tblGrid>
      <w:tr w:rsidR="00494600" w:rsidRPr="00890F3C" w14:paraId="79F7E633" w14:textId="77777777" w:rsidTr="00A15881">
        <w:trPr>
          <w:trHeight w:val="275"/>
        </w:trPr>
        <w:tc>
          <w:tcPr>
            <w:tcW w:w="4507" w:type="dxa"/>
          </w:tcPr>
          <w:p w14:paraId="2788A2C2" w14:textId="77777777" w:rsidR="00494600" w:rsidRPr="00890F3C" w:rsidRDefault="00494600" w:rsidP="00A15881">
            <w:pPr>
              <w:pStyle w:val="TableParagraph"/>
              <w:jc w:val="both"/>
              <w:rPr>
                <w:b/>
              </w:rPr>
            </w:pPr>
            <w:r w:rsidRPr="00890F3C">
              <w:rPr>
                <w:b/>
              </w:rPr>
              <w:t>Who</w:t>
            </w:r>
          </w:p>
        </w:tc>
        <w:tc>
          <w:tcPr>
            <w:tcW w:w="4507" w:type="dxa"/>
          </w:tcPr>
          <w:p w14:paraId="3FD8C485" w14:textId="77777777" w:rsidR="00494600" w:rsidRPr="00890F3C" w:rsidRDefault="00494600" w:rsidP="00A15881">
            <w:pPr>
              <w:pStyle w:val="TableParagraph"/>
              <w:jc w:val="both"/>
              <w:rPr>
                <w:b/>
              </w:rPr>
            </w:pPr>
            <w:r w:rsidRPr="00890F3C">
              <w:rPr>
                <w:b/>
              </w:rPr>
              <w:t>What</w:t>
            </w:r>
          </w:p>
        </w:tc>
      </w:tr>
      <w:tr w:rsidR="00494600" w:rsidRPr="00890F3C" w14:paraId="63A77CD7" w14:textId="77777777" w:rsidTr="00A15881">
        <w:trPr>
          <w:trHeight w:val="273"/>
        </w:trPr>
        <w:tc>
          <w:tcPr>
            <w:tcW w:w="4507" w:type="dxa"/>
          </w:tcPr>
          <w:p w14:paraId="36472219" w14:textId="77777777" w:rsidR="00494600" w:rsidRPr="00890F3C" w:rsidRDefault="00494600" w:rsidP="00A15881">
            <w:pPr>
              <w:pStyle w:val="TableParagraph"/>
              <w:jc w:val="both"/>
            </w:pPr>
            <w:r w:rsidRPr="00890F3C">
              <w:t>University as a corporate body</w:t>
            </w:r>
          </w:p>
        </w:tc>
        <w:tc>
          <w:tcPr>
            <w:tcW w:w="4507" w:type="dxa"/>
          </w:tcPr>
          <w:p w14:paraId="61F3DE64" w14:textId="77777777" w:rsidR="00494600" w:rsidRPr="00890F3C" w:rsidRDefault="00494600" w:rsidP="00A15881">
            <w:pPr>
              <w:pStyle w:val="TableParagraph"/>
              <w:jc w:val="both"/>
            </w:pPr>
            <w:r w:rsidRPr="00890F3C">
              <w:t>Data Controller</w:t>
            </w:r>
          </w:p>
        </w:tc>
      </w:tr>
      <w:tr w:rsidR="00494600" w:rsidRPr="00890F3C" w14:paraId="1A941244" w14:textId="77777777" w:rsidTr="00A15881">
        <w:trPr>
          <w:trHeight w:val="554"/>
        </w:trPr>
        <w:tc>
          <w:tcPr>
            <w:tcW w:w="4507" w:type="dxa"/>
          </w:tcPr>
          <w:p w14:paraId="2B6D2E21" w14:textId="77777777" w:rsidR="00494600" w:rsidRPr="00890F3C" w:rsidRDefault="00494600" w:rsidP="00A15881">
            <w:pPr>
              <w:pStyle w:val="TableParagraph"/>
              <w:jc w:val="both"/>
            </w:pPr>
            <w:r w:rsidRPr="00890F3C">
              <w:t>Board of Governors</w:t>
            </w:r>
          </w:p>
        </w:tc>
        <w:tc>
          <w:tcPr>
            <w:tcW w:w="4507" w:type="dxa"/>
          </w:tcPr>
          <w:p w14:paraId="168F82A8" w14:textId="77777777" w:rsidR="00494600" w:rsidRPr="00890F3C" w:rsidRDefault="00494600" w:rsidP="00A15881">
            <w:pPr>
              <w:pStyle w:val="TableParagraph"/>
              <w:ind w:right="390"/>
              <w:jc w:val="both"/>
            </w:pPr>
            <w:r w:rsidRPr="00890F3C">
              <w:t>Ultimately responsible for compliance with the GDPR.</w:t>
            </w:r>
          </w:p>
        </w:tc>
      </w:tr>
      <w:tr w:rsidR="00494600" w:rsidRPr="00890F3C" w14:paraId="33764E10" w14:textId="77777777" w:rsidTr="00A15881">
        <w:trPr>
          <w:trHeight w:val="416"/>
        </w:trPr>
        <w:tc>
          <w:tcPr>
            <w:tcW w:w="4507" w:type="dxa"/>
          </w:tcPr>
          <w:p w14:paraId="3D8D8D20" w14:textId="77777777" w:rsidR="00494600" w:rsidRPr="00890F3C" w:rsidRDefault="00494600" w:rsidP="00A15881">
            <w:pPr>
              <w:pStyle w:val="TableParagraph"/>
              <w:ind w:right="82"/>
              <w:jc w:val="both"/>
            </w:pPr>
            <w:r w:rsidRPr="00890F3C">
              <w:t>Data Protection Officer</w:t>
            </w:r>
          </w:p>
          <w:p w14:paraId="7A6BD6F8" w14:textId="77777777" w:rsidR="00494600" w:rsidRPr="00890F3C" w:rsidRDefault="00494600" w:rsidP="00A15881">
            <w:pPr>
              <w:pStyle w:val="TableParagraph"/>
              <w:ind w:right="82"/>
              <w:jc w:val="both"/>
            </w:pPr>
          </w:p>
        </w:tc>
        <w:tc>
          <w:tcPr>
            <w:tcW w:w="4507" w:type="dxa"/>
          </w:tcPr>
          <w:p w14:paraId="1622D9D6" w14:textId="77777777" w:rsidR="00494600" w:rsidRPr="00890F3C" w:rsidRDefault="00494600" w:rsidP="00494600">
            <w:pPr>
              <w:pStyle w:val="TableParagraph"/>
              <w:numPr>
                <w:ilvl w:val="0"/>
                <w:numId w:val="3"/>
              </w:numPr>
              <w:ind w:right="229"/>
              <w:jc w:val="both"/>
            </w:pPr>
            <w:r w:rsidRPr="00890F3C">
              <w:t>Maintain the University notification with the ICO;</w:t>
            </w:r>
          </w:p>
          <w:p w14:paraId="520BB664" w14:textId="77777777" w:rsidR="00494600" w:rsidRPr="00890F3C" w:rsidRDefault="00494600" w:rsidP="00A15881">
            <w:pPr>
              <w:pStyle w:val="TableParagraph"/>
              <w:ind w:left="832" w:right="229"/>
              <w:jc w:val="both"/>
            </w:pPr>
          </w:p>
          <w:p w14:paraId="2660F764" w14:textId="77777777" w:rsidR="00494600" w:rsidRPr="00890F3C" w:rsidRDefault="00494600" w:rsidP="00494600">
            <w:pPr>
              <w:pStyle w:val="TableParagraph"/>
              <w:numPr>
                <w:ilvl w:val="0"/>
                <w:numId w:val="3"/>
              </w:numPr>
              <w:tabs>
                <w:tab w:val="left" w:pos="1166"/>
                <w:tab w:val="left" w:pos="1953"/>
                <w:tab w:val="left" w:pos="2551"/>
                <w:tab w:val="left" w:pos="3352"/>
              </w:tabs>
              <w:ind w:right="98"/>
              <w:jc w:val="both"/>
            </w:pPr>
            <w:r w:rsidRPr="00890F3C">
              <w:t>Advise staff on</w:t>
            </w:r>
            <w:r w:rsidRPr="00890F3C">
              <w:tab/>
              <w:t>data</w:t>
            </w:r>
            <w:r w:rsidRPr="00890F3C">
              <w:tab/>
            </w:r>
            <w:r w:rsidRPr="00890F3C">
              <w:rPr>
                <w:spacing w:val="-1"/>
              </w:rPr>
              <w:t xml:space="preserve">protection </w:t>
            </w:r>
            <w:r w:rsidRPr="00890F3C">
              <w:t>compliance;</w:t>
            </w:r>
          </w:p>
          <w:p w14:paraId="70FF81BB" w14:textId="77777777" w:rsidR="00494600" w:rsidRPr="00890F3C" w:rsidRDefault="00494600" w:rsidP="00A15881">
            <w:pPr>
              <w:pStyle w:val="TableParagraph"/>
              <w:tabs>
                <w:tab w:val="left" w:pos="1166"/>
                <w:tab w:val="left" w:pos="1953"/>
                <w:tab w:val="left" w:pos="2551"/>
                <w:tab w:val="left" w:pos="3352"/>
              </w:tabs>
              <w:ind w:left="0" w:right="98"/>
              <w:jc w:val="both"/>
            </w:pPr>
          </w:p>
          <w:p w14:paraId="1520CAF0" w14:textId="77777777" w:rsidR="00494600" w:rsidRPr="00890F3C" w:rsidRDefault="00494600" w:rsidP="00494600">
            <w:pPr>
              <w:pStyle w:val="TableParagraph"/>
              <w:numPr>
                <w:ilvl w:val="0"/>
                <w:numId w:val="3"/>
              </w:numPr>
              <w:tabs>
                <w:tab w:val="left" w:pos="1166"/>
                <w:tab w:val="left" w:pos="1953"/>
                <w:tab w:val="left" w:pos="2551"/>
                <w:tab w:val="left" w:pos="3352"/>
              </w:tabs>
              <w:ind w:right="98"/>
              <w:jc w:val="both"/>
            </w:pPr>
            <w:r w:rsidRPr="00890F3C">
              <w:t>Coordinate responses for subject access requests;</w:t>
            </w:r>
          </w:p>
          <w:p w14:paraId="26161129" w14:textId="77777777" w:rsidR="00494600" w:rsidRPr="00890F3C" w:rsidRDefault="00494600" w:rsidP="00A15881">
            <w:pPr>
              <w:pStyle w:val="TableParagraph"/>
              <w:tabs>
                <w:tab w:val="left" w:pos="1166"/>
                <w:tab w:val="left" w:pos="1953"/>
                <w:tab w:val="left" w:pos="2551"/>
                <w:tab w:val="left" w:pos="3352"/>
              </w:tabs>
              <w:ind w:left="0" w:right="98"/>
              <w:jc w:val="both"/>
            </w:pPr>
          </w:p>
          <w:p w14:paraId="379D1FAC" w14:textId="77777777" w:rsidR="00494600" w:rsidRPr="00890F3C" w:rsidRDefault="00494600" w:rsidP="00494600">
            <w:pPr>
              <w:pStyle w:val="TableParagraph"/>
              <w:numPr>
                <w:ilvl w:val="0"/>
                <w:numId w:val="3"/>
              </w:numPr>
              <w:ind w:right="349"/>
              <w:jc w:val="both"/>
            </w:pPr>
            <w:r w:rsidRPr="00890F3C">
              <w:t>Report any personal data breaches to the ICO/police as appropriate;</w:t>
            </w:r>
          </w:p>
          <w:p w14:paraId="21D4D1CB" w14:textId="77777777" w:rsidR="00494600" w:rsidRPr="00890F3C" w:rsidRDefault="00494600" w:rsidP="00A15881">
            <w:pPr>
              <w:pStyle w:val="TableParagraph"/>
              <w:tabs>
                <w:tab w:val="left" w:pos="959"/>
                <w:tab w:val="left" w:pos="1274"/>
                <w:tab w:val="left" w:pos="1473"/>
                <w:tab w:val="left" w:pos="1701"/>
                <w:tab w:val="left" w:pos="2047"/>
                <w:tab w:val="left" w:pos="2759"/>
                <w:tab w:val="left" w:pos="3057"/>
                <w:tab w:val="left" w:pos="3139"/>
                <w:tab w:val="left" w:pos="4007"/>
              </w:tabs>
              <w:ind w:right="83"/>
              <w:jc w:val="both"/>
            </w:pPr>
          </w:p>
          <w:p w14:paraId="7C811715" w14:textId="77777777" w:rsidR="00494600" w:rsidRPr="00890F3C" w:rsidRDefault="00494600" w:rsidP="00494600">
            <w:pPr>
              <w:pStyle w:val="TableParagraph"/>
              <w:numPr>
                <w:ilvl w:val="0"/>
                <w:numId w:val="3"/>
              </w:numPr>
              <w:tabs>
                <w:tab w:val="left" w:pos="959"/>
                <w:tab w:val="left" w:pos="1274"/>
                <w:tab w:val="left" w:pos="1473"/>
                <w:tab w:val="left" w:pos="1701"/>
                <w:tab w:val="left" w:pos="2047"/>
                <w:tab w:val="left" w:pos="2759"/>
                <w:tab w:val="left" w:pos="3057"/>
                <w:tab w:val="left" w:pos="3139"/>
                <w:tab w:val="left" w:pos="4007"/>
              </w:tabs>
              <w:ind w:right="83"/>
              <w:jc w:val="both"/>
            </w:pPr>
            <w:r w:rsidRPr="00890F3C">
              <w:t>Issue data sharing guidance</w:t>
            </w:r>
            <w:r w:rsidR="00CE4D12">
              <w:t>.</w:t>
            </w:r>
            <w:r w:rsidRPr="00890F3C">
              <w:t xml:space="preserve"> </w:t>
            </w:r>
            <w:r w:rsidR="00CE4D12">
              <w:t>T</w:t>
            </w:r>
            <w:r w:rsidRPr="00890F3C">
              <w:t>he University’s Senior Legal Advisor oversee data sharing agreements between the University and third parties. The University’s Senior Legal Advisor should approve data sharing agreements before they are entered into by the University;</w:t>
            </w:r>
          </w:p>
          <w:p w14:paraId="7F5F85A0" w14:textId="77777777" w:rsidR="00494600" w:rsidRPr="00890F3C" w:rsidRDefault="00494600" w:rsidP="00E67B6B">
            <w:pPr>
              <w:pStyle w:val="TableParagraph"/>
              <w:tabs>
                <w:tab w:val="left" w:pos="959"/>
                <w:tab w:val="left" w:pos="1274"/>
                <w:tab w:val="left" w:pos="1473"/>
                <w:tab w:val="left" w:pos="1701"/>
                <w:tab w:val="left" w:pos="2047"/>
                <w:tab w:val="left" w:pos="2759"/>
                <w:tab w:val="left" w:pos="3057"/>
                <w:tab w:val="left" w:pos="3139"/>
                <w:tab w:val="left" w:pos="4007"/>
              </w:tabs>
              <w:ind w:left="0" w:right="83"/>
              <w:jc w:val="both"/>
            </w:pPr>
          </w:p>
          <w:p w14:paraId="0E9634DA" w14:textId="77777777" w:rsidR="00494600" w:rsidRPr="00890F3C" w:rsidRDefault="00494600" w:rsidP="00494600">
            <w:pPr>
              <w:pStyle w:val="TableParagraph"/>
              <w:numPr>
                <w:ilvl w:val="0"/>
                <w:numId w:val="3"/>
              </w:numPr>
              <w:tabs>
                <w:tab w:val="left" w:pos="959"/>
                <w:tab w:val="left" w:pos="1274"/>
                <w:tab w:val="left" w:pos="1473"/>
                <w:tab w:val="left" w:pos="1701"/>
                <w:tab w:val="left" w:pos="2047"/>
                <w:tab w:val="left" w:pos="2759"/>
                <w:tab w:val="left" w:pos="3057"/>
                <w:tab w:val="left" w:pos="3139"/>
                <w:tab w:val="left" w:pos="4007"/>
              </w:tabs>
              <w:ind w:right="83"/>
              <w:jc w:val="both"/>
            </w:pPr>
            <w:r w:rsidRPr="00890F3C">
              <w:t xml:space="preserve">Develop, administer, disseminate, </w:t>
            </w:r>
            <w:r w:rsidRPr="00890F3C">
              <w:lastRenderedPageBreak/>
              <w:t>review and support application of the policy.</w:t>
            </w:r>
          </w:p>
        </w:tc>
      </w:tr>
      <w:tr w:rsidR="00494600" w:rsidRPr="00890F3C" w14:paraId="34A687C8" w14:textId="77777777" w:rsidTr="00A15881">
        <w:trPr>
          <w:trHeight w:val="1377"/>
        </w:trPr>
        <w:tc>
          <w:tcPr>
            <w:tcW w:w="4507" w:type="dxa"/>
          </w:tcPr>
          <w:p w14:paraId="5C9D7E7F" w14:textId="77777777" w:rsidR="00494600" w:rsidRPr="00890F3C" w:rsidRDefault="00494600" w:rsidP="00A15881">
            <w:pPr>
              <w:pStyle w:val="TableParagraph"/>
              <w:tabs>
                <w:tab w:val="left" w:pos="1874"/>
                <w:tab w:val="left" w:pos="3738"/>
              </w:tabs>
              <w:ind w:right="93"/>
              <w:jc w:val="both"/>
            </w:pPr>
            <w:r w:rsidRPr="00890F3C">
              <w:lastRenderedPageBreak/>
              <w:t>Information Governance Group</w:t>
            </w:r>
            <w:r w:rsidRPr="00890F3C">
              <w:rPr>
                <w:spacing w:val="-1"/>
              </w:rPr>
              <w:t xml:space="preserve"> </w:t>
            </w:r>
            <w:r w:rsidRPr="00890F3C">
              <w:t>members</w:t>
            </w:r>
          </w:p>
        </w:tc>
        <w:tc>
          <w:tcPr>
            <w:tcW w:w="4507" w:type="dxa"/>
          </w:tcPr>
          <w:p w14:paraId="210AC14E" w14:textId="77777777" w:rsidR="00494600" w:rsidRPr="00890F3C" w:rsidRDefault="00494600" w:rsidP="00A15881">
            <w:pPr>
              <w:pStyle w:val="TableParagraph"/>
              <w:jc w:val="both"/>
            </w:pPr>
            <w:r w:rsidRPr="00890F3C">
              <w:t>Support the Data Protection Policy and other related policies, procedures and guidance in terms of understanding and application within their respective Faculties/ Services.</w:t>
            </w:r>
          </w:p>
        </w:tc>
      </w:tr>
      <w:tr w:rsidR="00494600" w:rsidRPr="00890F3C" w14:paraId="103962AC" w14:textId="77777777" w:rsidTr="00A15881">
        <w:trPr>
          <w:trHeight w:val="830"/>
        </w:trPr>
        <w:tc>
          <w:tcPr>
            <w:tcW w:w="4507" w:type="dxa"/>
          </w:tcPr>
          <w:p w14:paraId="73B3D134" w14:textId="77777777" w:rsidR="00494600" w:rsidRPr="00890F3C" w:rsidRDefault="00494600" w:rsidP="00A15881">
            <w:pPr>
              <w:pStyle w:val="TableParagraph"/>
              <w:ind w:right="80"/>
              <w:jc w:val="both"/>
            </w:pPr>
            <w:r w:rsidRPr="00890F3C">
              <w:t>Director of CCSS –</w:t>
            </w:r>
            <w:r w:rsidR="00F17E7E">
              <w:t xml:space="preserve"> </w:t>
            </w:r>
            <w:r w:rsidRPr="00890F3C">
              <w:t>on the specific responsibilities of the new Cyber Security</w:t>
            </w:r>
            <w:r w:rsidRPr="00890F3C">
              <w:rPr>
                <w:spacing w:val="-9"/>
              </w:rPr>
              <w:t xml:space="preserve"> </w:t>
            </w:r>
            <w:r w:rsidRPr="00890F3C">
              <w:t>Manager</w:t>
            </w:r>
          </w:p>
        </w:tc>
        <w:tc>
          <w:tcPr>
            <w:tcW w:w="4507" w:type="dxa"/>
          </w:tcPr>
          <w:p w14:paraId="546DB804" w14:textId="77777777" w:rsidR="00494600" w:rsidRPr="00890F3C" w:rsidRDefault="00494600" w:rsidP="00A15881">
            <w:pPr>
              <w:pStyle w:val="TableParagraph"/>
              <w:ind w:right="362"/>
              <w:jc w:val="both"/>
            </w:pPr>
            <w:r w:rsidRPr="00890F3C">
              <w:t>Ensure adequate policies are in place for security of electronic information.</w:t>
            </w:r>
          </w:p>
        </w:tc>
      </w:tr>
      <w:tr w:rsidR="00494600" w:rsidRPr="00890F3C" w14:paraId="01F10B55" w14:textId="77777777" w:rsidTr="00A15881">
        <w:trPr>
          <w:trHeight w:val="739"/>
        </w:trPr>
        <w:tc>
          <w:tcPr>
            <w:tcW w:w="4507" w:type="dxa"/>
          </w:tcPr>
          <w:p w14:paraId="048B2592" w14:textId="77777777" w:rsidR="00494600" w:rsidRPr="00890F3C" w:rsidRDefault="00494600" w:rsidP="00A15881">
            <w:pPr>
              <w:pStyle w:val="TableParagraph"/>
              <w:jc w:val="both"/>
            </w:pPr>
            <w:r w:rsidRPr="00890F3C">
              <w:t>CDS</w:t>
            </w:r>
          </w:p>
        </w:tc>
        <w:tc>
          <w:tcPr>
            <w:tcW w:w="4507" w:type="dxa"/>
          </w:tcPr>
          <w:p w14:paraId="692D17A5" w14:textId="77777777" w:rsidR="00494600" w:rsidRPr="00890F3C" w:rsidRDefault="00494600" w:rsidP="00A15881">
            <w:pPr>
              <w:pStyle w:val="TableParagraph"/>
              <w:ind w:right="122"/>
              <w:jc w:val="both"/>
            </w:pPr>
            <w:r w:rsidRPr="00890F3C">
              <w:t>Nominated processor for all post sent to and within the University.</w:t>
            </w:r>
          </w:p>
        </w:tc>
      </w:tr>
      <w:tr w:rsidR="00494600" w:rsidRPr="00890F3C" w14:paraId="2B5673F3" w14:textId="77777777" w:rsidTr="00A15881">
        <w:trPr>
          <w:trHeight w:val="1657"/>
        </w:trPr>
        <w:tc>
          <w:tcPr>
            <w:tcW w:w="4507" w:type="dxa"/>
          </w:tcPr>
          <w:p w14:paraId="174C6F0F" w14:textId="77777777" w:rsidR="00494600" w:rsidRPr="00890F3C" w:rsidRDefault="00494600" w:rsidP="00A15881">
            <w:pPr>
              <w:pStyle w:val="TableParagraph"/>
              <w:jc w:val="both"/>
            </w:pPr>
            <w:r w:rsidRPr="00890F3C">
              <w:t>Line managers</w:t>
            </w:r>
          </w:p>
        </w:tc>
        <w:tc>
          <w:tcPr>
            <w:tcW w:w="4507" w:type="dxa"/>
          </w:tcPr>
          <w:p w14:paraId="6A4D483F" w14:textId="77777777" w:rsidR="00494600" w:rsidRPr="00890F3C" w:rsidRDefault="00494600" w:rsidP="00A15881">
            <w:pPr>
              <w:pStyle w:val="TableParagraph"/>
              <w:ind w:right="83"/>
              <w:jc w:val="both"/>
            </w:pPr>
            <w:r w:rsidRPr="00890F3C">
              <w:t>Support and encourage staff to comply with the Policy.</w:t>
            </w:r>
          </w:p>
          <w:p w14:paraId="31D999C4" w14:textId="77777777" w:rsidR="00494600" w:rsidRPr="00890F3C" w:rsidRDefault="00494600" w:rsidP="00A15881">
            <w:pPr>
              <w:pStyle w:val="TableParagraph"/>
              <w:ind w:right="83"/>
              <w:jc w:val="both"/>
            </w:pPr>
          </w:p>
          <w:p w14:paraId="03ECB7DE" w14:textId="77777777" w:rsidR="00494600" w:rsidRPr="00890F3C" w:rsidRDefault="00494600" w:rsidP="00A15881">
            <w:pPr>
              <w:pStyle w:val="TableParagraph"/>
              <w:ind w:right="83"/>
              <w:jc w:val="both"/>
            </w:pPr>
            <w:r w:rsidRPr="00890F3C">
              <w:t>Ensure that line reports process personal data in line with the requirements of the principles and individuals data protection rights.</w:t>
            </w:r>
          </w:p>
        </w:tc>
      </w:tr>
      <w:tr w:rsidR="00494600" w:rsidRPr="00890F3C" w14:paraId="0A0FD43C" w14:textId="77777777" w:rsidTr="008E3674">
        <w:trPr>
          <w:trHeight w:val="2400"/>
        </w:trPr>
        <w:tc>
          <w:tcPr>
            <w:tcW w:w="4507" w:type="dxa"/>
          </w:tcPr>
          <w:p w14:paraId="2EAB02E0" w14:textId="77777777" w:rsidR="00494600" w:rsidRPr="00890F3C" w:rsidRDefault="00494600" w:rsidP="00A15881">
            <w:pPr>
              <w:pStyle w:val="TableParagraph"/>
              <w:jc w:val="both"/>
            </w:pPr>
            <w:r w:rsidRPr="00890F3C">
              <w:t>All staff</w:t>
            </w:r>
          </w:p>
        </w:tc>
        <w:tc>
          <w:tcPr>
            <w:tcW w:w="4507" w:type="dxa"/>
          </w:tcPr>
          <w:p w14:paraId="719A1DCB" w14:textId="77777777" w:rsidR="00494600" w:rsidRPr="00890F3C" w:rsidRDefault="00494600" w:rsidP="00494600">
            <w:pPr>
              <w:pStyle w:val="TableParagraph"/>
              <w:numPr>
                <w:ilvl w:val="0"/>
                <w:numId w:val="4"/>
              </w:numPr>
              <w:ind w:right="86"/>
              <w:jc w:val="both"/>
            </w:pPr>
            <w:r w:rsidRPr="00890F3C">
              <w:t>Be familiar with and comply with the policy;</w:t>
            </w:r>
          </w:p>
          <w:p w14:paraId="4075ED75" w14:textId="77777777" w:rsidR="00494600" w:rsidRPr="00890F3C" w:rsidRDefault="00494600" w:rsidP="00A15881">
            <w:pPr>
              <w:pStyle w:val="TableParagraph"/>
              <w:ind w:left="832" w:right="86"/>
              <w:jc w:val="both"/>
            </w:pPr>
          </w:p>
          <w:p w14:paraId="07236CF6" w14:textId="77777777" w:rsidR="00494600" w:rsidRPr="00890F3C" w:rsidRDefault="00494600" w:rsidP="00494600">
            <w:pPr>
              <w:pStyle w:val="TableParagraph"/>
              <w:numPr>
                <w:ilvl w:val="0"/>
                <w:numId w:val="4"/>
              </w:numPr>
              <w:ind w:right="83"/>
              <w:jc w:val="both"/>
            </w:pPr>
            <w:r w:rsidRPr="00890F3C">
              <w:t>Ensure that information provided in connection with employment is up-to- date and accurate;</w:t>
            </w:r>
          </w:p>
          <w:p w14:paraId="7517C978" w14:textId="77777777" w:rsidR="00494600" w:rsidRPr="00890F3C" w:rsidRDefault="00494600" w:rsidP="00A15881">
            <w:pPr>
              <w:pStyle w:val="TableParagraph"/>
              <w:ind w:left="0" w:right="83"/>
              <w:jc w:val="both"/>
            </w:pPr>
          </w:p>
          <w:p w14:paraId="2C98F1F6" w14:textId="77777777" w:rsidR="00494600" w:rsidRPr="00890F3C" w:rsidRDefault="00494600" w:rsidP="00494600">
            <w:pPr>
              <w:pStyle w:val="TableParagraph"/>
              <w:numPr>
                <w:ilvl w:val="0"/>
                <w:numId w:val="4"/>
              </w:numPr>
              <w:ind w:right="83"/>
              <w:jc w:val="both"/>
            </w:pPr>
            <w:r w:rsidRPr="00890F3C">
              <w:t>Observe and comply with the data protection principles and individuals data protection</w:t>
            </w:r>
            <w:r w:rsidRPr="00890F3C">
              <w:rPr>
                <w:spacing w:val="-6"/>
              </w:rPr>
              <w:t xml:space="preserve"> </w:t>
            </w:r>
            <w:r w:rsidRPr="00890F3C">
              <w:t>rights;</w:t>
            </w:r>
          </w:p>
          <w:p w14:paraId="02873D77" w14:textId="77777777" w:rsidR="00494600" w:rsidRPr="00890F3C" w:rsidRDefault="00494600" w:rsidP="00A15881">
            <w:pPr>
              <w:pStyle w:val="TableParagraph"/>
              <w:ind w:left="0" w:right="83"/>
              <w:jc w:val="both"/>
            </w:pPr>
          </w:p>
          <w:p w14:paraId="194DC291" w14:textId="77777777" w:rsidR="00494600" w:rsidRPr="00890F3C" w:rsidRDefault="00494600" w:rsidP="00494600">
            <w:pPr>
              <w:pStyle w:val="TableParagraph"/>
              <w:numPr>
                <w:ilvl w:val="0"/>
                <w:numId w:val="4"/>
              </w:numPr>
              <w:ind w:right="82"/>
              <w:jc w:val="both"/>
            </w:pPr>
            <w:r w:rsidRPr="00890F3C">
              <w:t>Bring queries and issues around data protection to the attention of the Data Protection Officer;</w:t>
            </w:r>
          </w:p>
          <w:p w14:paraId="572E0154" w14:textId="77777777" w:rsidR="00494600" w:rsidRPr="00890F3C" w:rsidRDefault="00494600" w:rsidP="00A15881">
            <w:pPr>
              <w:pStyle w:val="TableParagraph"/>
              <w:ind w:left="0" w:right="82"/>
              <w:jc w:val="both"/>
            </w:pPr>
          </w:p>
          <w:p w14:paraId="1AF5DD64" w14:textId="77777777" w:rsidR="00494600" w:rsidRPr="00890F3C" w:rsidRDefault="00494600" w:rsidP="00494600">
            <w:pPr>
              <w:pStyle w:val="TableParagraph"/>
              <w:numPr>
                <w:ilvl w:val="0"/>
                <w:numId w:val="4"/>
              </w:numPr>
              <w:ind w:right="84"/>
              <w:jc w:val="both"/>
            </w:pPr>
            <w:r w:rsidRPr="00890F3C">
              <w:t>Do not attempt to gain access to information that is not necessary to hold, know or</w:t>
            </w:r>
            <w:r w:rsidRPr="00890F3C">
              <w:rPr>
                <w:spacing w:val="-8"/>
              </w:rPr>
              <w:t xml:space="preserve"> </w:t>
            </w:r>
            <w:r w:rsidRPr="00890F3C">
              <w:t>process;</w:t>
            </w:r>
          </w:p>
          <w:p w14:paraId="653B120E" w14:textId="77777777" w:rsidR="00494600" w:rsidRPr="00890F3C" w:rsidRDefault="00494600" w:rsidP="00A15881">
            <w:pPr>
              <w:pStyle w:val="TableParagraph"/>
              <w:ind w:left="0" w:right="84"/>
              <w:jc w:val="both"/>
            </w:pPr>
          </w:p>
          <w:p w14:paraId="26307CED" w14:textId="77777777" w:rsidR="00494600" w:rsidRPr="00890F3C" w:rsidRDefault="00494600" w:rsidP="00494600">
            <w:pPr>
              <w:pStyle w:val="TableParagraph"/>
              <w:numPr>
                <w:ilvl w:val="0"/>
                <w:numId w:val="4"/>
              </w:numPr>
              <w:ind w:right="79"/>
              <w:jc w:val="both"/>
            </w:pPr>
            <w:r w:rsidRPr="00890F3C">
              <w:t>Report subject access and other requests to Information Governance staff.</w:t>
            </w:r>
          </w:p>
          <w:p w14:paraId="2D3561C5" w14:textId="77777777" w:rsidR="00494600" w:rsidRPr="00890F3C" w:rsidRDefault="00494600" w:rsidP="00A15881">
            <w:pPr>
              <w:pStyle w:val="TableParagraph"/>
              <w:ind w:right="82"/>
              <w:jc w:val="both"/>
            </w:pPr>
          </w:p>
          <w:p w14:paraId="326010EE" w14:textId="77777777" w:rsidR="00494600" w:rsidRDefault="00494600" w:rsidP="00A15881">
            <w:pPr>
              <w:pStyle w:val="TableParagraph"/>
              <w:ind w:right="82"/>
              <w:jc w:val="both"/>
            </w:pPr>
            <w:r w:rsidRPr="00890F3C">
              <w:t>Note that unauthorised disclosure will usually be a disciplinary matter, and may be considered gross misconduct in some cases. It may also result in a personal liability for the staff member as there is provision within</w:t>
            </w:r>
            <w:r w:rsidRPr="00890F3C">
              <w:rPr>
                <w:spacing w:val="51"/>
              </w:rPr>
              <w:t xml:space="preserve"> </w:t>
            </w:r>
            <w:r w:rsidRPr="00890F3C">
              <w:t xml:space="preserve">the legislation to prosecute individuals for certain offences. </w:t>
            </w:r>
          </w:p>
          <w:p w14:paraId="14ABBC54" w14:textId="77777777" w:rsidR="008E3674" w:rsidRDefault="008E3674" w:rsidP="00A15881">
            <w:pPr>
              <w:pStyle w:val="TableParagraph"/>
              <w:ind w:right="82"/>
              <w:jc w:val="both"/>
            </w:pPr>
          </w:p>
          <w:p w14:paraId="0051CB0D" w14:textId="77777777" w:rsidR="008E3674" w:rsidRDefault="008E3674" w:rsidP="00A15881">
            <w:pPr>
              <w:pStyle w:val="TableParagraph"/>
              <w:ind w:right="82"/>
              <w:jc w:val="both"/>
            </w:pPr>
          </w:p>
          <w:p w14:paraId="3623401E" w14:textId="77777777" w:rsidR="008E3674" w:rsidRDefault="008E3674" w:rsidP="00A15881">
            <w:pPr>
              <w:pStyle w:val="TableParagraph"/>
              <w:ind w:right="82"/>
              <w:jc w:val="both"/>
            </w:pPr>
          </w:p>
          <w:p w14:paraId="49A77106" w14:textId="77777777" w:rsidR="008E3674" w:rsidRDefault="008E3674" w:rsidP="00A15881">
            <w:pPr>
              <w:pStyle w:val="TableParagraph"/>
              <w:ind w:right="82"/>
              <w:jc w:val="both"/>
            </w:pPr>
          </w:p>
          <w:p w14:paraId="3C73CA50" w14:textId="77777777" w:rsidR="008E3674" w:rsidRDefault="008E3674" w:rsidP="00A15881">
            <w:pPr>
              <w:pStyle w:val="TableParagraph"/>
              <w:ind w:right="82"/>
              <w:jc w:val="both"/>
            </w:pPr>
          </w:p>
          <w:p w14:paraId="4CA8A038" w14:textId="77777777" w:rsidR="008E3674" w:rsidRDefault="008E3674" w:rsidP="00A15881">
            <w:pPr>
              <w:pStyle w:val="TableParagraph"/>
              <w:ind w:right="82"/>
              <w:jc w:val="both"/>
            </w:pPr>
          </w:p>
          <w:p w14:paraId="26BEABAC" w14:textId="77777777" w:rsidR="008E3674" w:rsidRDefault="008E3674" w:rsidP="00A15881">
            <w:pPr>
              <w:pStyle w:val="TableParagraph"/>
              <w:ind w:right="82"/>
              <w:jc w:val="both"/>
            </w:pPr>
          </w:p>
          <w:p w14:paraId="75650C65" w14:textId="77777777" w:rsidR="008E3674" w:rsidRDefault="008E3674" w:rsidP="00A15881">
            <w:pPr>
              <w:pStyle w:val="TableParagraph"/>
              <w:ind w:right="82"/>
              <w:jc w:val="both"/>
            </w:pPr>
          </w:p>
          <w:p w14:paraId="5AD6F240" w14:textId="77777777" w:rsidR="008E3674" w:rsidRDefault="008E3674" w:rsidP="00A15881">
            <w:pPr>
              <w:pStyle w:val="TableParagraph"/>
              <w:ind w:right="82"/>
              <w:jc w:val="both"/>
            </w:pPr>
          </w:p>
          <w:p w14:paraId="57DE795D" w14:textId="77777777" w:rsidR="008E3674" w:rsidRDefault="008E3674" w:rsidP="00A15881">
            <w:pPr>
              <w:pStyle w:val="TableParagraph"/>
              <w:ind w:right="82"/>
              <w:jc w:val="both"/>
            </w:pPr>
          </w:p>
          <w:p w14:paraId="732AB81D" w14:textId="77777777" w:rsidR="008E3674" w:rsidRDefault="008E3674" w:rsidP="00A15881">
            <w:pPr>
              <w:pStyle w:val="TableParagraph"/>
              <w:ind w:right="82"/>
              <w:jc w:val="both"/>
            </w:pPr>
          </w:p>
          <w:p w14:paraId="414D5B64" w14:textId="77777777" w:rsidR="008E3674" w:rsidRDefault="008E3674" w:rsidP="00A15881">
            <w:pPr>
              <w:pStyle w:val="TableParagraph"/>
              <w:ind w:right="82"/>
              <w:jc w:val="both"/>
            </w:pPr>
          </w:p>
          <w:p w14:paraId="5CB4563B" w14:textId="77777777" w:rsidR="008E3674" w:rsidRDefault="008E3674" w:rsidP="00A15881">
            <w:pPr>
              <w:pStyle w:val="TableParagraph"/>
              <w:ind w:right="82"/>
              <w:jc w:val="both"/>
            </w:pPr>
          </w:p>
          <w:p w14:paraId="44C69A66" w14:textId="77777777" w:rsidR="008E3674" w:rsidRDefault="008E3674" w:rsidP="00A15881">
            <w:pPr>
              <w:pStyle w:val="TableParagraph"/>
              <w:ind w:right="82"/>
              <w:jc w:val="both"/>
            </w:pPr>
          </w:p>
          <w:p w14:paraId="2722C638" w14:textId="77777777" w:rsidR="008E3674" w:rsidRDefault="008E3674" w:rsidP="00A15881">
            <w:pPr>
              <w:pStyle w:val="TableParagraph"/>
              <w:ind w:right="82"/>
              <w:jc w:val="both"/>
            </w:pPr>
          </w:p>
          <w:p w14:paraId="36531D16" w14:textId="77777777" w:rsidR="008E3674" w:rsidRDefault="008E3674" w:rsidP="00A15881">
            <w:pPr>
              <w:pStyle w:val="TableParagraph"/>
              <w:ind w:right="82"/>
              <w:jc w:val="both"/>
            </w:pPr>
          </w:p>
          <w:p w14:paraId="73F49BF4" w14:textId="798C0D95" w:rsidR="008E3674" w:rsidRPr="00890F3C" w:rsidRDefault="008E3674" w:rsidP="008E3674">
            <w:pPr>
              <w:pStyle w:val="TableParagraph"/>
              <w:ind w:left="0" w:right="82"/>
              <w:jc w:val="both"/>
            </w:pPr>
          </w:p>
        </w:tc>
      </w:tr>
      <w:tr w:rsidR="00494600" w:rsidRPr="00890F3C" w14:paraId="72E70C65" w14:textId="77777777" w:rsidTr="00A15881">
        <w:trPr>
          <w:trHeight w:val="739"/>
        </w:trPr>
        <w:tc>
          <w:tcPr>
            <w:tcW w:w="4507" w:type="dxa"/>
          </w:tcPr>
          <w:p w14:paraId="1C4DA730" w14:textId="77777777" w:rsidR="00494600" w:rsidRPr="00890F3C" w:rsidRDefault="00494600" w:rsidP="00A15881">
            <w:pPr>
              <w:pStyle w:val="TableParagraph"/>
              <w:jc w:val="both"/>
            </w:pPr>
            <w:r w:rsidRPr="00890F3C">
              <w:lastRenderedPageBreak/>
              <w:t>All students</w:t>
            </w:r>
          </w:p>
        </w:tc>
        <w:tc>
          <w:tcPr>
            <w:tcW w:w="4507" w:type="dxa"/>
          </w:tcPr>
          <w:p w14:paraId="6A13A86A" w14:textId="77777777" w:rsidR="00494600" w:rsidRPr="00890F3C" w:rsidRDefault="00494600" w:rsidP="00A15881">
            <w:pPr>
              <w:pStyle w:val="TableParagraph"/>
              <w:ind w:right="83"/>
              <w:jc w:val="both"/>
            </w:pPr>
            <w:r w:rsidRPr="00890F3C">
              <w:t>Be familiar with the policy and comply with the policy where necessary.</w:t>
            </w:r>
          </w:p>
          <w:p w14:paraId="0F30CB65" w14:textId="77777777" w:rsidR="00494600" w:rsidRPr="00890F3C" w:rsidRDefault="00494600" w:rsidP="00A15881">
            <w:pPr>
              <w:pStyle w:val="TableParagraph"/>
              <w:ind w:right="83"/>
            </w:pPr>
            <w:r w:rsidRPr="00890F3C">
              <w:t>Ensure that personal information provided is up-to-date and accurate.</w:t>
            </w:r>
          </w:p>
          <w:p w14:paraId="5DF78FD9" w14:textId="77777777" w:rsidR="00494600" w:rsidRPr="00890F3C" w:rsidRDefault="00494600" w:rsidP="00A15881">
            <w:pPr>
              <w:pStyle w:val="TableParagraph"/>
              <w:ind w:right="83"/>
            </w:pPr>
            <w:r w:rsidRPr="00890F3C">
              <w:t>Observe and comply with the data protection principles and individuals data protection</w:t>
            </w:r>
            <w:r w:rsidRPr="00890F3C">
              <w:rPr>
                <w:spacing w:val="-6"/>
              </w:rPr>
              <w:t xml:space="preserve"> </w:t>
            </w:r>
            <w:r w:rsidRPr="00890F3C">
              <w:t>rights.</w:t>
            </w:r>
          </w:p>
          <w:p w14:paraId="7D564D79" w14:textId="77777777" w:rsidR="00494600" w:rsidRPr="00890F3C" w:rsidRDefault="00494600" w:rsidP="00A15881">
            <w:pPr>
              <w:pStyle w:val="TableParagraph"/>
              <w:ind w:right="122"/>
              <w:jc w:val="both"/>
            </w:pPr>
            <w:r w:rsidRPr="00890F3C">
              <w:t>Note that unauthorised disclosure of personal data will usually be a disciplinary matter.</w:t>
            </w:r>
          </w:p>
        </w:tc>
      </w:tr>
    </w:tbl>
    <w:p w14:paraId="24D37F32" w14:textId="77777777" w:rsidR="00494600" w:rsidRDefault="00494600" w:rsidP="00494600"/>
    <w:p w14:paraId="3946C022" w14:textId="77777777" w:rsidR="009F0960" w:rsidRDefault="009F0960"/>
    <w:sectPr w:rsidR="009F09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76C6" w14:textId="77777777" w:rsidR="00494600" w:rsidRDefault="00494600" w:rsidP="00494600">
      <w:r>
        <w:separator/>
      </w:r>
    </w:p>
  </w:endnote>
  <w:endnote w:type="continuationSeparator" w:id="0">
    <w:p w14:paraId="773E353C" w14:textId="77777777" w:rsidR="00494600" w:rsidRDefault="00494600" w:rsidP="0049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56181"/>
      <w:docPartObj>
        <w:docPartGallery w:val="Page Numbers (Bottom of Page)"/>
        <w:docPartUnique/>
      </w:docPartObj>
    </w:sdtPr>
    <w:sdtEndPr>
      <w:rPr>
        <w:noProof/>
      </w:rPr>
    </w:sdtEndPr>
    <w:sdtContent>
      <w:p w14:paraId="4D801721" w14:textId="77777777" w:rsidR="00494600" w:rsidRDefault="004946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427F4" w14:textId="77777777" w:rsidR="00494600" w:rsidRDefault="0049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52EA" w14:textId="77777777" w:rsidR="00494600" w:rsidRDefault="00494600" w:rsidP="00494600">
      <w:r>
        <w:separator/>
      </w:r>
    </w:p>
  </w:footnote>
  <w:footnote w:type="continuationSeparator" w:id="0">
    <w:p w14:paraId="3DA8DDBD" w14:textId="77777777" w:rsidR="00494600" w:rsidRDefault="00494600" w:rsidP="0049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7E7E"/>
    <w:multiLevelType w:val="hybridMultilevel"/>
    <w:tmpl w:val="F1F86BC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2CF57F11"/>
    <w:multiLevelType w:val="hybridMultilevel"/>
    <w:tmpl w:val="A12A519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305F62FB"/>
    <w:multiLevelType w:val="multilevel"/>
    <w:tmpl w:val="F2D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9146E"/>
    <w:multiLevelType w:val="hybridMultilevel"/>
    <w:tmpl w:val="3CCE33E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495B6ABB"/>
    <w:multiLevelType w:val="hybridMultilevel"/>
    <w:tmpl w:val="CEEE2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ADB67B0"/>
    <w:multiLevelType w:val="hybridMultilevel"/>
    <w:tmpl w:val="7C7E8676"/>
    <w:lvl w:ilvl="0" w:tplc="E2322DA8">
      <w:numFmt w:val="bullet"/>
      <w:lvlText w:val=""/>
      <w:lvlJc w:val="left"/>
      <w:pPr>
        <w:ind w:left="721" w:hanging="361"/>
      </w:pPr>
      <w:rPr>
        <w:rFonts w:ascii="Symbol" w:eastAsia="Symbol" w:hAnsi="Symbol" w:cs="Symbol" w:hint="default"/>
        <w:w w:val="100"/>
        <w:sz w:val="22"/>
        <w:szCs w:val="22"/>
        <w:lang w:val="en-GB" w:eastAsia="en-GB" w:bidi="en-GB"/>
      </w:rPr>
    </w:lvl>
    <w:lvl w:ilvl="1" w:tplc="D4AE9C8A">
      <w:numFmt w:val="bullet"/>
      <w:lvlText w:val="•"/>
      <w:lvlJc w:val="left"/>
      <w:pPr>
        <w:ind w:left="1564" w:hanging="361"/>
      </w:pPr>
      <w:rPr>
        <w:rFonts w:hint="default"/>
        <w:lang w:val="en-GB" w:eastAsia="en-GB" w:bidi="en-GB"/>
      </w:rPr>
    </w:lvl>
    <w:lvl w:ilvl="2" w:tplc="F0602960">
      <w:numFmt w:val="bullet"/>
      <w:lvlText w:val="•"/>
      <w:lvlJc w:val="left"/>
      <w:pPr>
        <w:ind w:left="2407" w:hanging="361"/>
      </w:pPr>
      <w:rPr>
        <w:rFonts w:hint="default"/>
        <w:lang w:val="en-GB" w:eastAsia="en-GB" w:bidi="en-GB"/>
      </w:rPr>
    </w:lvl>
    <w:lvl w:ilvl="3" w:tplc="ABB020B2">
      <w:numFmt w:val="bullet"/>
      <w:lvlText w:val="•"/>
      <w:lvlJc w:val="left"/>
      <w:pPr>
        <w:ind w:left="3250" w:hanging="361"/>
      </w:pPr>
      <w:rPr>
        <w:rFonts w:hint="default"/>
        <w:lang w:val="en-GB" w:eastAsia="en-GB" w:bidi="en-GB"/>
      </w:rPr>
    </w:lvl>
    <w:lvl w:ilvl="4" w:tplc="A0DE01F2">
      <w:numFmt w:val="bullet"/>
      <w:lvlText w:val="•"/>
      <w:lvlJc w:val="left"/>
      <w:pPr>
        <w:ind w:left="4093" w:hanging="361"/>
      </w:pPr>
      <w:rPr>
        <w:rFonts w:hint="default"/>
        <w:lang w:val="en-GB" w:eastAsia="en-GB" w:bidi="en-GB"/>
      </w:rPr>
    </w:lvl>
    <w:lvl w:ilvl="5" w:tplc="12F6E7A8">
      <w:numFmt w:val="bullet"/>
      <w:lvlText w:val="•"/>
      <w:lvlJc w:val="left"/>
      <w:pPr>
        <w:ind w:left="4936" w:hanging="361"/>
      </w:pPr>
      <w:rPr>
        <w:rFonts w:hint="default"/>
        <w:lang w:val="en-GB" w:eastAsia="en-GB" w:bidi="en-GB"/>
      </w:rPr>
    </w:lvl>
    <w:lvl w:ilvl="6" w:tplc="DE7E2FB4">
      <w:numFmt w:val="bullet"/>
      <w:lvlText w:val="•"/>
      <w:lvlJc w:val="left"/>
      <w:pPr>
        <w:ind w:left="5779" w:hanging="361"/>
      </w:pPr>
      <w:rPr>
        <w:rFonts w:hint="default"/>
        <w:lang w:val="en-GB" w:eastAsia="en-GB" w:bidi="en-GB"/>
      </w:rPr>
    </w:lvl>
    <w:lvl w:ilvl="7" w:tplc="762CF4DE">
      <w:numFmt w:val="bullet"/>
      <w:lvlText w:val="•"/>
      <w:lvlJc w:val="left"/>
      <w:pPr>
        <w:ind w:left="6622" w:hanging="361"/>
      </w:pPr>
      <w:rPr>
        <w:rFonts w:hint="default"/>
        <w:lang w:val="en-GB" w:eastAsia="en-GB" w:bidi="en-GB"/>
      </w:rPr>
    </w:lvl>
    <w:lvl w:ilvl="8" w:tplc="7FE88B12">
      <w:numFmt w:val="bullet"/>
      <w:lvlText w:val="•"/>
      <w:lvlJc w:val="left"/>
      <w:pPr>
        <w:ind w:left="7465" w:hanging="361"/>
      </w:pPr>
      <w:rPr>
        <w:rFonts w:hint="default"/>
        <w:lang w:val="en-GB" w:eastAsia="en-GB" w:bidi="en-GB"/>
      </w:rPr>
    </w:lvl>
  </w:abstractNum>
  <w:abstractNum w:abstractNumId="6" w15:restartNumberingAfterBreak="0">
    <w:nsid w:val="57B90DB6"/>
    <w:multiLevelType w:val="multilevel"/>
    <w:tmpl w:val="734247B6"/>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7206197F"/>
    <w:multiLevelType w:val="hybridMultilevel"/>
    <w:tmpl w:val="011E4858"/>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8"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abstractNum w:abstractNumId="9" w15:restartNumberingAfterBreak="0">
    <w:nsid w:val="72A733DE"/>
    <w:multiLevelType w:val="hybridMultilevel"/>
    <w:tmpl w:val="0076E526"/>
    <w:lvl w:ilvl="0" w:tplc="08090001">
      <w:start w:val="1"/>
      <w:numFmt w:val="bullet"/>
      <w:lvlText w:val=""/>
      <w:lvlJc w:val="left"/>
      <w:pPr>
        <w:ind w:left="1368" w:hanging="360"/>
      </w:pPr>
      <w:rPr>
        <w:rFonts w:ascii="Symbol" w:hAnsi="Symbol" w:hint="default"/>
        <w:spacing w:val="-1"/>
        <w:w w:val="100"/>
        <w:sz w:val="22"/>
        <w:szCs w:val="22"/>
        <w:lang w:val="en-GB" w:eastAsia="en-GB" w:bidi="en-GB"/>
      </w:rPr>
    </w:lvl>
    <w:lvl w:ilvl="1" w:tplc="BED69232">
      <w:numFmt w:val="bullet"/>
      <w:lvlText w:val="•"/>
      <w:lvlJc w:val="left"/>
      <w:pPr>
        <w:ind w:left="2212" w:hanging="360"/>
      </w:pPr>
      <w:rPr>
        <w:rFonts w:hint="default"/>
        <w:lang w:val="en-GB" w:eastAsia="en-GB" w:bidi="en-GB"/>
      </w:rPr>
    </w:lvl>
    <w:lvl w:ilvl="2" w:tplc="1F205DBA">
      <w:numFmt w:val="bullet"/>
      <w:lvlText w:val="•"/>
      <w:lvlJc w:val="left"/>
      <w:pPr>
        <w:ind w:left="3055" w:hanging="360"/>
      </w:pPr>
      <w:rPr>
        <w:rFonts w:hint="default"/>
        <w:lang w:val="en-GB" w:eastAsia="en-GB" w:bidi="en-GB"/>
      </w:rPr>
    </w:lvl>
    <w:lvl w:ilvl="3" w:tplc="2486708A">
      <w:numFmt w:val="bullet"/>
      <w:lvlText w:val="•"/>
      <w:lvlJc w:val="left"/>
      <w:pPr>
        <w:ind w:left="3898" w:hanging="360"/>
      </w:pPr>
      <w:rPr>
        <w:rFonts w:hint="default"/>
        <w:lang w:val="en-GB" w:eastAsia="en-GB" w:bidi="en-GB"/>
      </w:rPr>
    </w:lvl>
    <w:lvl w:ilvl="4" w:tplc="C16E44BA">
      <w:numFmt w:val="bullet"/>
      <w:lvlText w:val="•"/>
      <w:lvlJc w:val="left"/>
      <w:pPr>
        <w:ind w:left="4741" w:hanging="360"/>
      </w:pPr>
      <w:rPr>
        <w:rFonts w:hint="default"/>
        <w:lang w:val="en-GB" w:eastAsia="en-GB" w:bidi="en-GB"/>
      </w:rPr>
    </w:lvl>
    <w:lvl w:ilvl="5" w:tplc="E33646F8">
      <w:numFmt w:val="bullet"/>
      <w:lvlText w:val="•"/>
      <w:lvlJc w:val="left"/>
      <w:pPr>
        <w:ind w:left="5584" w:hanging="360"/>
      </w:pPr>
      <w:rPr>
        <w:rFonts w:hint="default"/>
        <w:lang w:val="en-GB" w:eastAsia="en-GB" w:bidi="en-GB"/>
      </w:rPr>
    </w:lvl>
    <w:lvl w:ilvl="6" w:tplc="ED300696">
      <w:numFmt w:val="bullet"/>
      <w:lvlText w:val="•"/>
      <w:lvlJc w:val="left"/>
      <w:pPr>
        <w:ind w:left="6427" w:hanging="360"/>
      </w:pPr>
      <w:rPr>
        <w:rFonts w:hint="default"/>
        <w:lang w:val="en-GB" w:eastAsia="en-GB" w:bidi="en-GB"/>
      </w:rPr>
    </w:lvl>
    <w:lvl w:ilvl="7" w:tplc="E444863A">
      <w:numFmt w:val="bullet"/>
      <w:lvlText w:val="•"/>
      <w:lvlJc w:val="left"/>
      <w:pPr>
        <w:ind w:left="7270" w:hanging="360"/>
      </w:pPr>
      <w:rPr>
        <w:rFonts w:hint="default"/>
        <w:lang w:val="en-GB" w:eastAsia="en-GB" w:bidi="en-GB"/>
      </w:rPr>
    </w:lvl>
    <w:lvl w:ilvl="8" w:tplc="D5E2CA9E">
      <w:numFmt w:val="bullet"/>
      <w:lvlText w:val="•"/>
      <w:lvlJc w:val="left"/>
      <w:pPr>
        <w:ind w:left="8113" w:hanging="360"/>
      </w:pPr>
      <w:rPr>
        <w:rFonts w:hint="default"/>
        <w:lang w:val="en-GB" w:eastAsia="en-GB" w:bidi="en-GB"/>
      </w:rPr>
    </w:lvl>
  </w:abstractNum>
  <w:num w:numId="1">
    <w:abstractNumId w:val="9"/>
  </w:num>
  <w:num w:numId="2">
    <w:abstractNumId w:val="5"/>
  </w:num>
  <w:num w:numId="3">
    <w:abstractNumId w:val="3"/>
  </w:num>
  <w:num w:numId="4">
    <w:abstractNumId w:val="1"/>
  </w:num>
  <w:num w:numId="5">
    <w:abstractNumId w:val="2"/>
  </w:num>
  <w:num w:numId="6">
    <w:abstractNumId w:val="8"/>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00"/>
    <w:rsid w:val="0002568A"/>
    <w:rsid w:val="00141695"/>
    <w:rsid w:val="00177E5F"/>
    <w:rsid w:val="002E148B"/>
    <w:rsid w:val="003B605E"/>
    <w:rsid w:val="003C3F9B"/>
    <w:rsid w:val="003D43AE"/>
    <w:rsid w:val="00494600"/>
    <w:rsid w:val="00522C7C"/>
    <w:rsid w:val="005C203B"/>
    <w:rsid w:val="006C39C4"/>
    <w:rsid w:val="00736E53"/>
    <w:rsid w:val="007F73BC"/>
    <w:rsid w:val="00803151"/>
    <w:rsid w:val="008A2D07"/>
    <w:rsid w:val="008D261F"/>
    <w:rsid w:val="008D4602"/>
    <w:rsid w:val="008E3674"/>
    <w:rsid w:val="0092471E"/>
    <w:rsid w:val="00981EDC"/>
    <w:rsid w:val="00995417"/>
    <w:rsid w:val="009E4C9D"/>
    <w:rsid w:val="009F0960"/>
    <w:rsid w:val="00A07FCF"/>
    <w:rsid w:val="00A6192B"/>
    <w:rsid w:val="00C26835"/>
    <w:rsid w:val="00C86048"/>
    <w:rsid w:val="00CD0FDF"/>
    <w:rsid w:val="00CE4D12"/>
    <w:rsid w:val="00D625AF"/>
    <w:rsid w:val="00D84E00"/>
    <w:rsid w:val="00E67B6B"/>
    <w:rsid w:val="00F17E7E"/>
    <w:rsid w:val="00F7254E"/>
    <w:rsid w:val="00FD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E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94600"/>
    <w:pPr>
      <w:widowControl w:val="0"/>
      <w:autoSpaceDE w:val="0"/>
      <w:autoSpaceDN w:val="0"/>
    </w:pPr>
    <w:rPr>
      <w:rFonts w:ascii="Arial" w:eastAsia="Arial" w:hAnsi="Arial" w:cs="Arial"/>
      <w:lang w:eastAsia="en-GB" w:bidi="en-GB"/>
    </w:rPr>
  </w:style>
  <w:style w:type="paragraph" w:styleId="Heading1">
    <w:name w:val="heading 1"/>
    <w:basedOn w:val="Normal"/>
    <w:link w:val="Heading1Char"/>
    <w:uiPriority w:val="1"/>
    <w:qFormat/>
    <w:rsid w:val="00494600"/>
    <w:pPr>
      <w:spacing w:before="6"/>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9E4C9D"/>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494600"/>
    <w:rPr>
      <w:rFonts w:ascii="Arial" w:eastAsia="Arial" w:hAnsi="Arial" w:cs="Arial"/>
      <w:b/>
      <w:bCs/>
      <w:sz w:val="28"/>
      <w:szCs w:val="28"/>
      <w:lang w:eastAsia="en-GB" w:bidi="en-GB"/>
    </w:rPr>
  </w:style>
  <w:style w:type="paragraph" w:styleId="BodyText">
    <w:name w:val="Body Text"/>
    <w:basedOn w:val="Normal"/>
    <w:link w:val="BodyTextChar"/>
    <w:uiPriority w:val="1"/>
    <w:qFormat/>
    <w:rsid w:val="00494600"/>
    <w:pPr>
      <w:ind w:left="939" w:hanging="360"/>
    </w:pPr>
  </w:style>
  <w:style w:type="character" w:customStyle="1" w:styleId="BodyTextChar">
    <w:name w:val="Body Text Char"/>
    <w:basedOn w:val="DefaultParagraphFont"/>
    <w:link w:val="BodyText"/>
    <w:uiPriority w:val="1"/>
    <w:rsid w:val="00494600"/>
    <w:rPr>
      <w:rFonts w:ascii="Arial" w:eastAsia="Arial" w:hAnsi="Arial" w:cs="Arial"/>
      <w:lang w:eastAsia="en-GB" w:bidi="en-GB"/>
    </w:rPr>
  </w:style>
  <w:style w:type="paragraph" w:styleId="ListParagraph">
    <w:name w:val="List Paragraph"/>
    <w:basedOn w:val="Normal"/>
    <w:uiPriority w:val="1"/>
    <w:qFormat/>
    <w:rsid w:val="00494600"/>
    <w:pPr>
      <w:ind w:left="940" w:hanging="360"/>
    </w:pPr>
  </w:style>
  <w:style w:type="paragraph" w:customStyle="1" w:styleId="TableParagraph">
    <w:name w:val="Table Paragraph"/>
    <w:basedOn w:val="Normal"/>
    <w:uiPriority w:val="1"/>
    <w:qFormat/>
    <w:rsid w:val="00494600"/>
    <w:pPr>
      <w:ind w:left="112"/>
    </w:pPr>
  </w:style>
  <w:style w:type="character" w:styleId="Hyperlink">
    <w:name w:val="Hyperlink"/>
    <w:basedOn w:val="DefaultParagraphFont"/>
    <w:uiPriority w:val="99"/>
    <w:unhideWhenUsed/>
    <w:rsid w:val="00494600"/>
    <w:rPr>
      <w:color w:val="0563C1" w:themeColor="hyperlink"/>
      <w:u w:val="single"/>
    </w:rPr>
  </w:style>
  <w:style w:type="paragraph" w:styleId="CommentText">
    <w:name w:val="annotation text"/>
    <w:basedOn w:val="Normal"/>
    <w:link w:val="CommentTextChar"/>
    <w:uiPriority w:val="99"/>
    <w:semiHidden/>
    <w:unhideWhenUsed/>
    <w:rsid w:val="00494600"/>
    <w:rPr>
      <w:sz w:val="20"/>
      <w:szCs w:val="20"/>
    </w:rPr>
  </w:style>
  <w:style w:type="character" w:customStyle="1" w:styleId="CommentTextChar">
    <w:name w:val="Comment Text Char"/>
    <w:basedOn w:val="DefaultParagraphFont"/>
    <w:link w:val="CommentText"/>
    <w:uiPriority w:val="99"/>
    <w:semiHidden/>
    <w:rsid w:val="00494600"/>
    <w:rPr>
      <w:rFonts w:ascii="Arial" w:eastAsia="Arial" w:hAnsi="Arial" w:cs="Arial"/>
      <w:sz w:val="20"/>
      <w:szCs w:val="20"/>
      <w:lang w:eastAsia="en-GB" w:bidi="en-GB"/>
    </w:rPr>
  </w:style>
  <w:style w:type="paragraph" w:styleId="Header">
    <w:name w:val="header"/>
    <w:basedOn w:val="Normal"/>
    <w:link w:val="HeaderChar"/>
    <w:uiPriority w:val="99"/>
    <w:unhideWhenUsed/>
    <w:rsid w:val="00494600"/>
    <w:pPr>
      <w:tabs>
        <w:tab w:val="center" w:pos="4513"/>
        <w:tab w:val="right" w:pos="9026"/>
      </w:tabs>
    </w:pPr>
  </w:style>
  <w:style w:type="character" w:customStyle="1" w:styleId="HeaderChar">
    <w:name w:val="Header Char"/>
    <w:basedOn w:val="DefaultParagraphFont"/>
    <w:link w:val="Header"/>
    <w:uiPriority w:val="99"/>
    <w:rsid w:val="00494600"/>
    <w:rPr>
      <w:rFonts w:ascii="Arial" w:eastAsia="Arial" w:hAnsi="Arial" w:cs="Arial"/>
      <w:lang w:eastAsia="en-GB" w:bidi="en-GB"/>
    </w:rPr>
  </w:style>
  <w:style w:type="paragraph" w:styleId="Footer">
    <w:name w:val="footer"/>
    <w:basedOn w:val="Normal"/>
    <w:link w:val="FooterChar"/>
    <w:uiPriority w:val="99"/>
    <w:unhideWhenUsed/>
    <w:rsid w:val="00494600"/>
    <w:pPr>
      <w:tabs>
        <w:tab w:val="center" w:pos="4513"/>
        <w:tab w:val="right" w:pos="9026"/>
      </w:tabs>
    </w:pPr>
  </w:style>
  <w:style w:type="character" w:customStyle="1" w:styleId="FooterChar">
    <w:name w:val="Footer Char"/>
    <w:basedOn w:val="DefaultParagraphFont"/>
    <w:link w:val="Footer"/>
    <w:uiPriority w:val="99"/>
    <w:rsid w:val="00494600"/>
    <w:rPr>
      <w:rFonts w:ascii="Arial" w:eastAsia="Arial" w:hAnsi="Arial" w:cs="Arial"/>
      <w:lang w:eastAsia="en-GB" w:bidi="en-GB"/>
    </w:rPr>
  </w:style>
  <w:style w:type="character" w:styleId="UnresolvedMention">
    <w:name w:val="Unresolved Mention"/>
    <w:basedOn w:val="DefaultParagraphFont"/>
    <w:uiPriority w:val="99"/>
    <w:semiHidden/>
    <w:unhideWhenUsed/>
    <w:rsid w:val="00141695"/>
    <w:rPr>
      <w:color w:val="605E5C"/>
      <w:shd w:val="clear" w:color="auto" w:fill="E1DFDD"/>
    </w:rPr>
  </w:style>
  <w:style w:type="character" w:styleId="FollowedHyperlink">
    <w:name w:val="FollowedHyperlink"/>
    <w:basedOn w:val="DefaultParagraphFont"/>
    <w:uiPriority w:val="99"/>
    <w:semiHidden/>
    <w:unhideWhenUsed/>
    <w:rsid w:val="008A2D07"/>
    <w:rPr>
      <w:color w:val="954F72" w:themeColor="followedHyperlink"/>
      <w:u w:val="single"/>
    </w:rPr>
  </w:style>
  <w:style w:type="character" w:styleId="CommentReference">
    <w:name w:val="annotation reference"/>
    <w:basedOn w:val="DefaultParagraphFont"/>
    <w:uiPriority w:val="99"/>
    <w:semiHidden/>
    <w:unhideWhenUsed/>
    <w:rsid w:val="008D261F"/>
    <w:rPr>
      <w:sz w:val="16"/>
      <w:szCs w:val="16"/>
    </w:rPr>
  </w:style>
  <w:style w:type="paragraph" w:styleId="CommentSubject">
    <w:name w:val="annotation subject"/>
    <w:basedOn w:val="CommentText"/>
    <w:next w:val="CommentText"/>
    <w:link w:val="CommentSubjectChar"/>
    <w:uiPriority w:val="99"/>
    <w:semiHidden/>
    <w:unhideWhenUsed/>
    <w:rsid w:val="008D261F"/>
    <w:rPr>
      <w:b/>
      <w:bCs/>
    </w:rPr>
  </w:style>
  <w:style w:type="character" w:customStyle="1" w:styleId="CommentSubjectChar">
    <w:name w:val="Comment Subject Char"/>
    <w:basedOn w:val="CommentTextChar"/>
    <w:link w:val="CommentSubject"/>
    <w:uiPriority w:val="99"/>
    <w:semiHidden/>
    <w:rsid w:val="008D261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8D2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1F"/>
    <w:rPr>
      <w:rFonts w:ascii="Segoe UI" w:eastAsia="Arial" w:hAnsi="Segoe UI" w:cs="Segoe UI"/>
      <w:sz w:val="18"/>
      <w:szCs w:val="18"/>
      <w:lang w:eastAsia="en-GB" w:bidi="en-GB"/>
    </w:rPr>
  </w:style>
  <w:style w:type="paragraph" w:styleId="Revision">
    <w:name w:val="Revision"/>
    <w:hidden/>
    <w:uiPriority w:val="99"/>
    <w:semiHidden/>
    <w:rsid w:val="00522C7C"/>
    <w:rPr>
      <w:rFonts w:ascii="Arial" w:eastAsia="Arial" w:hAnsi="Arial" w:cs="Arial"/>
      <w:lang w:eastAsia="en-GB" w:bidi="en-GB"/>
    </w:rPr>
  </w:style>
  <w:style w:type="paragraph" w:styleId="BodyText2">
    <w:name w:val="Body Text 2"/>
    <w:basedOn w:val="Normal"/>
    <w:link w:val="BodyText2Char"/>
    <w:uiPriority w:val="99"/>
    <w:unhideWhenUsed/>
    <w:rsid w:val="00C26835"/>
    <w:pPr>
      <w:shd w:val="clear" w:color="auto" w:fill="FFFFFF"/>
      <w:jc w:val="both"/>
      <w:textAlignment w:val="baseline"/>
    </w:pPr>
    <w:rPr>
      <w:rFonts w:eastAsia="Times New Roman"/>
      <w:b/>
    </w:rPr>
  </w:style>
  <w:style w:type="character" w:customStyle="1" w:styleId="BodyText2Char">
    <w:name w:val="Body Text 2 Char"/>
    <w:basedOn w:val="DefaultParagraphFont"/>
    <w:link w:val="BodyText2"/>
    <w:uiPriority w:val="99"/>
    <w:rsid w:val="00C26835"/>
    <w:rPr>
      <w:rFonts w:ascii="Arial" w:eastAsia="Times New Roman" w:hAnsi="Arial" w:cs="Arial"/>
      <w:b/>
      <w:shd w:val="clear" w:color="auto" w:fill="FFFFF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Data Protection Policy</dc:title>
  <dc:subject/>
  <dc:creator/>
  <cp:keywords/>
  <dc:description/>
  <cp:lastModifiedBy/>
  <cp:revision>1</cp:revision>
  <dcterms:created xsi:type="dcterms:W3CDTF">2023-07-04T16:00:00Z</dcterms:created>
  <dcterms:modified xsi:type="dcterms:W3CDTF">2023-07-04T16:00:00Z</dcterms:modified>
</cp:coreProperties>
</file>